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4324" w:rsidRPr="009D4324" w:rsidRDefault="009D4324" w:rsidP="009D4324">
      <w:pPr>
        <w:widowControl/>
        <w:tabs>
          <w:tab w:val="decimal" w:pos="720"/>
          <w:tab w:val="left" w:pos="1260"/>
        </w:tabs>
        <w:autoSpaceDE/>
        <w:autoSpaceDN/>
        <w:adjustRightInd/>
        <w:spacing w:line="276" w:lineRule="auto"/>
        <w:rPr>
          <w:rFonts w:ascii="Times New Roman" w:eastAsiaTheme="minorHAnsi" w:hAnsi="Times New Roman" w:cs="Times New Roman"/>
          <w:b/>
          <w:sz w:val="24"/>
          <w:szCs w:val="24"/>
        </w:rPr>
      </w:pPr>
      <w:bookmarkStart w:id="0" w:name="_GoBack"/>
      <w:bookmarkEnd w:id="0"/>
    </w:p>
    <w:p w:rsidR="009D4324" w:rsidRPr="009D4324" w:rsidRDefault="009D4324" w:rsidP="009D4324">
      <w:pPr>
        <w:widowControl/>
        <w:tabs>
          <w:tab w:val="decimal" w:pos="720"/>
          <w:tab w:val="left" w:pos="1260"/>
        </w:tabs>
        <w:autoSpaceDE/>
        <w:autoSpaceDN/>
        <w:adjustRightInd/>
        <w:spacing w:line="276" w:lineRule="auto"/>
        <w:jc w:val="both"/>
        <w:rPr>
          <w:rFonts w:ascii="Times New Roman" w:eastAsiaTheme="minorHAnsi" w:hAnsi="Times New Roman" w:cs="Times New Roman"/>
          <w:b/>
          <w:sz w:val="24"/>
          <w:szCs w:val="24"/>
        </w:rPr>
      </w:pPr>
    </w:p>
    <w:p w:rsidR="009D4324" w:rsidRPr="009D4324" w:rsidRDefault="009D4324" w:rsidP="009D4324">
      <w:pPr>
        <w:widowControl/>
        <w:tabs>
          <w:tab w:val="decimal" w:pos="720"/>
          <w:tab w:val="left" w:pos="1440"/>
        </w:tabs>
        <w:autoSpaceDE/>
        <w:autoSpaceDN/>
        <w:adjustRightInd/>
        <w:ind w:left="1080" w:hanging="450"/>
        <w:jc w:val="both"/>
        <w:rPr>
          <w:rFonts w:ascii="Times New Roman" w:eastAsiaTheme="minorHAnsi" w:hAnsi="Times New Roman" w:cs="Times New Roman"/>
          <w:sz w:val="24"/>
          <w:szCs w:val="24"/>
        </w:rPr>
      </w:pPr>
      <w:r w:rsidRPr="009D4324">
        <w:rPr>
          <w:rFonts w:ascii="Times New Roman" w:eastAsiaTheme="minorHAnsi" w:hAnsi="Times New Roman" w:cs="Times New Roman"/>
          <w:b/>
          <w:sz w:val="24"/>
          <w:szCs w:val="24"/>
        </w:rPr>
        <w:tab/>
      </w:r>
      <w:r w:rsidRPr="009D4324">
        <w:rPr>
          <w:rFonts w:ascii="Times New Roman" w:eastAsiaTheme="minorHAnsi" w:hAnsi="Times New Roman" w:cs="Times New Roman"/>
          <w:b/>
          <w:sz w:val="24"/>
          <w:szCs w:val="24"/>
        </w:rPr>
        <w:tab/>
      </w:r>
    </w:p>
    <w:p w:rsidR="00B5399E" w:rsidRDefault="009D4324" w:rsidP="00337F0E">
      <w:pPr>
        <w:widowControl/>
        <w:tabs>
          <w:tab w:val="decimal" w:pos="720"/>
          <w:tab w:val="left" w:pos="1440"/>
        </w:tabs>
        <w:autoSpaceDE/>
        <w:autoSpaceDN/>
        <w:adjustRightInd/>
        <w:ind w:hanging="446"/>
        <w:jc w:val="both"/>
        <w:rPr>
          <w:sz w:val="24"/>
          <w:szCs w:val="24"/>
          <w:lang w:val="en-CA"/>
        </w:rPr>
      </w:pPr>
      <w:r w:rsidRPr="009D4324">
        <w:rPr>
          <w:rFonts w:ascii="Times New Roman" w:eastAsiaTheme="minorHAnsi" w:hAnsi="Times New Roman" w:cs="Times New Roman"/>
          <w:b/>
          <w:sz w:val="24"/>
          <w:szCs w:val="24"/>
        </w:rPr>
        <w:tab/>
      </w:r>
    </w:p>
    <w:p w:rsidR="00C16C2B" w:rsidRDefault="0046404F" w:rsidP="00C16C2B">
      <w:pPr>
        <w:pStyle w:val="Title"/>
        <w:rPr>
          <w:rFonts w:ascii="Helvetica" w:hAnsi="Helvetica"/>
          <w:i w:val="0"/>
        </w:rPr>
      </w:pPr>
      <w:r w:rsidRPr="00E80B9D">
        <w:rPr>
          <w:rFonts w:ascii="Helvetica" w:hAnsi="Helvetica"/>
          <w:i w:val="0"/>
          <w:sz w:val="24"/>
          <w:szCs w:val="24"/>
          <w:lang w:val="en-CA"/>
        </w:rPr>
        <w:fldChar w:fldCharType="begin"/>
      </w:r>
      <w:r w:rsidR="007D1ACD" w:rsidRPr="00E80B9D">
        <w:rPr>
          <w:rFonts w:ascii="Helvetica" w:hAnsi="Helvetica"/>
          <w:i w:val="0"/>
          <w:sz w:val="24"/>
          <w:szCs w:val="24"/>
          <w:lang w:val="en-CA"/>
        </w:rPr>
        <w:instrText xml:space="preserve"> SEQ CHAPTER \h \r 0</w:instrText>
      </w:r>
      <w:r w:rsidRPr="00E80B9D">
        <w:rPr>
          <w:rFonts w:ascii="Helvetica" w:hAnsi="Helvetica"/>
          <w:i w:val="0"/>
          <w:sz w:val="24"/>
          <w:szCs w:val="24"/>
          <w:lang w:val="en-CA"/>
        </w:rPr>
        <w:fldChar w:fldCharType="end"/>
      </w:r>
      <w:r w:rsidR="00FB35D5">
        <w:rPr>
          <w:rFonts w:ascii="Helvetica" w:hAnsi="Helvetica"/>
          <w:i w:val="0"/>
        </w:rPr>
        <w:t xml:space="preserve">United States </w:t>
      </w:r>
      <w:r w:rsidR="00556554">
        <w:rPr>
          <w:rFonts w:ascii="Helvetica" w:hAnsi="Helvetica"/>
          <w:i w:val="0"/>
        </w:rPr>
        <w:t>Probate</w:t>
      </w:r>
      <w:r w:rsidR="00FB35D5">
        <w:rPr>
          <w:rFonts w:ascii="Helvetica" w:hAnsi="Helvetica"/>
          <w:i w:val="0"/>
        </w:rPr>
        <w:t xml:space="preserve"> Records</w:t>
      </w:r>
    </w:p>
    <w:p w:rsidR="00D9738F" w:rsidRPr="00C16C2B" w:rsidRDefault="00C16C2B" w:rsidP="005367A3">
      <w:pPr>
        <w:pStyle w:val="Title"/>
        <w:spacing w:before="120" w:after="120"/>
        <w:rPr>
          <w:rFonts w:ascii="Helvetica" w:hAnsi="Helvetica"/>
          <w:b w:val="0"/>
          <w:i w:val="0"/>
          <w:sz w:val="20"/>
          <w:szCs w:val="20"/>
        </w:rPr>
      </w:pPr>
      <w:r w:rsidRPr="00C16C2B">
        <w:rPr>
          <w:rFonts w:ascii="Helvetica" w:hAnsi="Helvetica"/>
          <w:b w:val="0"/>
          <w:i w:val="0"/>
          <w:sz w:val="20"/>
          <w:szCs w:val="20"/>
        </w:rPr>
        <w:t>Tim Bingaman, AG</w:t>
      </w:r>
      <w:r w:rsidR="00CB3CE6" w:rsidRPr="00CB3CE6">
        <w:rPr>
          <w:rFonts w:ascii="Helvetica" w:hAnsi="Helvetica"/>
          <w:b w:val="0"/>
          <w:i w:val="0"/>
          <w:sz w:val="20"/>
          <w:szCs w:val="20"/>
          <w:vertAlign w:val="superscript"/>
        </w:rPr>
        <w:t>®</w:t>
      </w:r>
      <w:r w:rsidRPr="00C16C2B">
        <w:rPr>
          <w:rFonts w:ascii="Helvetica" w:hAnsi="Helvetica"/>
          <w:b w:val="0"/>
          <w:i w:val="0"/>
          <w:sz w:val="20"/>
          <w:szCs w:val="20"/>
        </w:rPr>
        <w:t>, Research Specialist</w:t>
      </w:r>
    </w:p>
    <w:p w:rsidR="00D9738F" w:rsidRPr="00E80B9D" w:rsidRDefault="00C16C2B" w:rsidP="005367A3">
      <w:pPr>
        <w:pStyle w:val="CompanyandContactInfo"/>
        <w:spacing w:before="120" w:after="120"/>
        <w:rPr>
          <w:rFonts w:ascii="Helvetica" w:hAnsi="Helvetica"/>
        </w:rPr>
      </w:pPr>
      <w:r>
        <w:rPr>
          <w:rFonts w:ascii="Helvetica" w:hAnsi="Helvetica"/>
        </w:rPr>
        <w:t>bingamantd@familysearch.org</w:t>
      </w:r>
    </w:p>
    <w:p w:rsidR="002D3CA5" w:rsidRPr="00E80B9D" w:rsidRDefault="002D3CA5" w:rsidP="00B17FBC">
      <w:pPr>
        <w:widowControl/>
        <w:tabs>
          <w:tab w:val="left" w:pos="-900"/>
          <w:tab w:val="left" w:pos="-720"/>
          <w:tab w:val="left" w:pos="360"/>
          <w:tab w:val="left" w:pos="720"/>
          <w:tab w:val="left" w:pos="1080"/>
          <w:tab w:val="left" w:pos="1440"/>
          <w:tab w:val="left" w:pos="1800"/>
        </w:tabs>
        <w:jc w:val="center"/>
        <w:rPr>
          <w:rFonts w:ascii="Helvetica" w:hAnsi="Helvetica" w:cs="Times New Roman"/>
          <w:b/>
          <w:bCs/>
          <w:sz w:val="22"/>
          <w:szCs w:val="22"/>
        </w:rPr>
      </w:pPr>
    </w:p>
    <w:p w:rsidR="00D9738F" w:rsidRPr="00E80B9D" w:rsidRDefault="00D9738F" w:rsidP="00B17FBC">
      <w:pPr>
        <w:widowControl/>
        <w:tabs>
          <w:tab w:val="left" w:pos="-900"/>
          <w:tab w:val="left" w:pos="-720"/>
          <w:tab w:val="left" w:pos="360"/>
          <w:tab w:val="left" w:pos="720"/>
          <w:tab w:val="left" w:pos="1080"/>
          <w:tab w:val="left" w:pos="1440"/>
          <w:tab w:val="left" w:pos="1800"/>
        </w:tabs>
        <w:jc w:val="center"/>
        <w:rPr>
          <w:rFonts w:ascii="Helvetica" w:hAnsi="Helvetica" w:cs="Times New Roman"/>
          <w:b/>
          <w:bCs/>
          <w:sz w:val="22"/>
          <w:szCs w:val="22"/>
        </w:rPr>
      </w:pPr>
    </w:p>
    <w:p w:rsidR="000B68BC" w:rsidRPr="00556554" w:rsidRDefault="000B68BC" w:rsidP="00556554">
      <w:pPr>
        <w:pStyle w:val="Title"/>
        <w:spacing w:before="120" w:after="120"/>
        <w:jc w:val="left"/>
        <w:rPr>
          <w:rFonts w:ascii="Helvetica" w:hAnsi="Helvetica"/>
          <w:b w:val="0"/>
          <w:i w:val="0"/>
          <w:sz w:val="22"/>
          <w:szCs w:val="22"/>
        </w:rPr>
      </w:pPr>
      <w:r w:rsidRPr="00556554">
        <w:rPr>
          <w:rFonts w:ascii="Helvetica" w:hAnsi="Helvetica"/>
          <w:b w:val="0"/>
          <w:i w:val="0"/>
          <w:sz w:val="22"/>
          <w:szCs w:val="22"/>
        </w:rPr>
        <w:t>Many genealogists search for and find wills on their ancestors. But wills are just the beginning. Where there’s a will (and even when there’s no will but there is property), there’s a probate. This class will discuss the probate process, introduce the documents (and the treasures they contain) created during that process and identify where those probate records can be found.</w:t>
      </w:r>
    </w:p>
    <w:p w:rsidR="000B68BC" w:rsidRPr="00384EDC" w:rsidRDefault="000B68BC" w:rsidP="000B68BC">
      <w:pPr>
        <w:pStyle w:val="Text"/>
      </w:pPr>
    </w:p>
    <w:p w:rsidR="000B68BC" w:rsidRPr="00556554" w:rsidRDefault="00556554" w:rsidP="00556554">
      <w:pPr>
        <w:pStyle w:val="Title"/>
        <w:spacing w:before="120" w:after="120"/>
        <w:jc w:val="left"/>
        <w:rPr>
          <w:rFonts w:ascii="Helvetica" w:hAnsi="Helvetica"/>
          <w:i w:val="0"/>
          <w:sz w:val="28"/>
          <w:szCs w:val="28"/>
        </w:rPr>
      </w:pPr>
      <w:r w:rsidRPr="00556554">
        <w:rPr>
          <w:rFonts w:ascii="Helvetica" w:hAnsi="Helvetica"/>
          <w:i w:val="0"/>
          <w:sz w:val="28"/>
          <w:szCs w:val="28"/>
        </w:rPr>
        <w:t>PROBATE BASICS</w:t>
      </w:r>
    </w:p>
    <w:p w:rsidR="000B68BC" w:rsidRPr="00556554" w:rsidRDefault="000B68BC" w:rsidP="00556554">
      <w:pPr>
        <w:pStyle w:val="Title"/>
        <w:spacing w:before="120" w:after="120"/>
        <w:jc w:val="left"/>
        <w:rPr>
          <w:rFonts w:ascii="Helvetica" w:hAnsi="Helvetica"/>
          <w:i w:val="0"/>
          <w:sz w:val="22"/>
          <w:szCs w:val="22"/>
        </w:rPr>
      </w:pPr>
      <w:r w:rsidRPr="00556554">
        <w:rPr>
          <w:rFonts w:ascii="Helvetica" w:hAnsi="Helvetica"/>
          <w:i w:val="0"/>
          <w:sz w:val="22"/>
          <w:szCs w:val="22"/>
        </w:rPr>
        <w:t>What is Probate?</w:t>
      </w:r>
    </w:p>
    <w:p w:rsidR="000B68BC" w:rsidRPr="00556554" w:rsidRDefault="000B68BC" w:rsidP="00556554">
      <w:pPr>
        <w:pStyle w:val="Title"/>
        <w:spacing w:before="120" w:after="120"/>
        <w:jc w:val="left"/>
        <w:rPr>
          <w:rFonts w:ascii="Helvetica" w:hAnsi="Helvetica"/>
          <w:b w:val="0"/>
          <w:i w:val="0"/>
          <w:sz w:val="22"/>
          <w:szCs w:val="22"/>
        </w:rPr>
      </w:pPr>
      <w:r w:rsidRPr="00556554">
        <w:rPr>
          <w:rFonts w:ascii="Helvetica" w:hAnsi="Helvetica"/>
          <w:b w:val="0"/>
          <w:i w:val="0"/>
          <w:sz w:val="22"/>
          <w:szCs w:val="22"/>
        </w:rPr>
        <w:t>Probate is the process whereby the property and assets of a deceased individual are distributed among his or her heirs. The word probate means “to prove” and originally related only to the process of proving a will. In modern usage, probate is the process of settling an estate regardless of whether there is a will or not.</w:t>
      </w:r>
    </w:p>
    <w:p w:rsidR="000B68BC" w:rsidRPr="00556554" w:rsidRDefault="000B68BC" w:rsidP="00556554">
      <w:pPr>
        <w:pStyle w:val="Title"/>
        <w:spacing w:before="120" w:after="120"/>
        <w:jc w:val="left"/>
        <w:rPr>
          <w:rFonts w:ascii="Helvetica" w:hAnsi="Helvetica"/>
          <w:b w:val="0"/>
          <w:i w:val="0"/>
          <w:sz w:val="22"/>
          <w:szCs w:val="22"/>
        </w:rPr>
      </w:pPr>
      <w:r w:rsidRPr="00556554">
        <w:rPr>
          <w:rFonts w:ascii="Helvetica" w:hAnsi="Helvetica"/>
          <w:b w:val="0"/>
          <w:i w:val="0"/>
          <w:sz w:val="22"/>
          <w:szCs w:val="22"/>
        </w:rPr>
        <w:t>Probate comes from English Common Law and was never questioned by the early American Colonists. This means that probate records exist from the time each colony and state was founded. In the United States, probate law is dictated by the individual states. Most states have assigned the duties of settling probate to either county or district courts though the names of these courts vary from state to state.</w:t>
      </w:r>
    </w:p>
    <w:p w:rsidR="000B68BC" w:rsidRPr="00556554" w:rsidRDefault="000B68BC" w:rsidP="00556554">
      <w:pPr>
        <w:pStyle w:val="Title"/>
        <w:spacing w:after="0"/>
        <w:jc w:val="left"/>
        <w:rPr>
          <w:rFonts w:ascii="Helvetica" w:hAnsi="Helvetica"/>
          <w:i w:val="0"/>
          <w:sz w:val="22"/>
          <w:szCs w:val="22"/>
        </w:rPr>
      </w:pPr>
      <w:r w:rsidRPr="00556554">
        <w:rPr>
          <w:rFonts w:ascii="Helvetica" w:hAnsi="Helvetica"/>
          <w:i w:val="0"/>
          <w:sz w:val="22"/>
          <w:szCs w:val="22"/>
        </w:rPr>
        <w:t>Genealogical Value of Probate Records</w:t>
      </w:r>
    </w:p>
    <w:p w:rsidR="000B68BC" w:rsidRPr="00556554" w:rsidRDefault="000B68BC" w:rsidP="00556554">
      <w:pPr>
        <w:pStyle w:val="Title"/>
        <w:spacing w:after="0"/>
        <w:jc w:val="left"/>
        <w:rPr>
          <w:rFonts w:ascii="Helvetica" w:hAnsi="Helvetica"/>
          <w:b w:val="0"/>
          <w:i w:val="0"/>
          <w:sz w:val="22"/>
          <w:szCs w:val="22"/>
        </w:rPr>
      </w:pPr>
      <w:r w:rsidRPr="00556554">
        <w:rPr>
          <w:rFonts w:ascii="Helvetica" w:hAnsi="Helvetica"/>
          <w:b w:val="0"/>
          <w:i w:val="0"/>
          <w:sz w:val="22"/>
          <w:szCs w:val="22"/>
        </w:rPr>
        <w:t>Probate records can provide a lot of information about your ancestors, including:</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Relationships (spouse, children, grandchildren, parents, siblings, nieces &amp; nephews, etc.)</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Date and place of death</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Property ownership</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Socioeconomic status</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Religious affiliation</w:t>
      </w:r>
    </w:p>
    <w:p w:rsidR="000B68BC" w:rsidRPr="00556554" w:rsidRDefault="000B68BC" w:rsidP="00556554">
      <w:pPr>
        <w:pStyle w:val="Title"/>
        <w:numPr>
          <w:ilvl w:val="0"/>
          <w:numId w:val="29"/>
        </w:numPr>
        <w:spacing w:after="0"/>
        <w:jc w:val="left"/>
        <w:rPr>
          <w:rFonts w:ascii="Helvetica" w:hAnsi="Helvetica"/>
          <w:b w:val="0"/>
          <w:i w:val="0"/>
          <w:sz w:val="22"/>
          <w:szCs w:val="22"/>
        </w:rPr>
      </w:pPr>
      <w:r w:rsidRPr="00556554">
        <w:rPr>
          <w:rFonts w:ascii="Helvetica" w:hAnsi="Helvetica"/>
          <w:b w:val="0"/>
          <w:i w:val="0"/>
          <w:sz w:val="22"/>
          <w:szCs w:val="22"/>
        </w:rPr>
        <w:t>Possible relatives (executors, administrators, guardians, witnesses, bondsmen)</w:t>
      </w:r>
    </w:p>
    <w:p w:rsidR="000B68BC" w:rsidRPr="004F2F4C" w:rsidRDefault="000B68BC" w:rsidP="00556554">
      <w:pPr>
        <w:pStyle w:val="Title"/>
        <w:spacing w:after="0"/>
        <w:jc w:val="left"/>
        <w:rPr>
          <w:b w:val="0"/>
        </w:rPr>
      </w:pPr>
      <w:r w:rsidRPr="00556554">
        <w:rPr>
          <w:rFonts w:ascii="Helvetica" w:hAnsi="Helvetica"/>
          <w:i w:val="0"/>
          <w:sz w:val="22"/>
          <w:szCs w:val="22"/>
        </w:rPr>
        <w:t>Probate Terminology</w:t>
      </w:r>
    </w:p>
    <w:p w:rsidR="000B68BC" w:rsidRPr="004F2F4C" w:rsidRDefault="000B68BC" w:rsidP="000B68BC">
      <w:pPr>
        <w:pStyle w:val="NoSpacing"/>
        <w:numPr>
          <w:ilvl w:val="0"/>
          <w:numId w:val="21"/>
        </w:numPr>
      </w:pPr>
      <w:r w:rsidRPr="00556554">
        <w:rPr>
          <w:rFonts w:ascii="Helvetica" w:eastAsia="Times New Roman" w:hAnsi="Helvetica"/>
          <w:b/>
          <w:bCs/>
          <w:iCs/>
        </w:rPr>
        <w:t>Administrator/</w:t>
      </w:r>
      <w:proofErr w:type="spellStart"/>
      <w:r w:rsidRPr="00556554">
        <w:rPr>
          <w:rFonts w:ascii="Helvetica" w:eastAsia="Times New Roman" w:hAnsi="Helvetica"/>
          <w:b/>
          <w:bCs/>
          <w:iCs/>
        </w:rPr>
        <w:t>Administratix</w:t>
      </w:r>
      <w:proofErr w:type="spellEnd"/>
      <w:r w:rsidRPr="004F2F4C">
        <w:t xml:space="preserve">: individual(s) assigned by the court to settle an estate </w:t>
      </w:r>
    </w:p>
    <w:p w:rsidR="000B68BC" w:rsidRPr="004F2F4C" w:rsidRDefault="000B68BC" w:rsidP="000B68BC">
      <w:pPr>
        <w:pStyle w:val="NoSpacing"/>
        <w:numPr>
          <w:ilvl w:val="0"/>
          <w:numId w:val="21"/>
        </w:numPr>
      </w:pPr>
      <w:r w:rsidRPr="00556554">
        <w:rPr>
          <w:rFonts w:ascii="Helvetica" w:eastAsia="Times New Roman" w:hAnsi="Helvetica"/>
          <w:b/>
          <w:bCs/>
          <w:iCs/>
        </w:rPr>
        <w:t>Bondsman/Surety</w:t>
      </w:r>
      <w:r w:rsidRPr="004F2F4C">
        <w:t>: individual(s) who gives security on the signing of a bond</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Codicil</w:t>
      </w:r>
      <w:r w:rsidRPr="00556554">
        <w:rPr>
          <w:rFonts w:ascii="Helvetica" w:hAnsi="Helvetica"/>
          <w:b w:val="0"/>
          <w:i w:val="0"/>
          <w:sz w:val="22"/>
          <w:szCs w:val="22"/>
        </w:rPr>
        <w:t>: an addendum to an existing will</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Decedent</w:t>
      </w:r>
      <w:r w:rsidRPr="00556554">
        <w:rPr>
          <w:rFonts w:ascii="Helvetica" w:hAnsi="Helvetica"/>
          <w:b w:val="0"/>
          <w:i w:val="0"/>
          <w:sz w:val="22"/>
          <w:szCs w:val="22"/>
        </w:rPr>
        <w:t>: individual whose estate is being settled</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Executor/Executrix</w:t>
      </w:r>
      <w:r w:rsidRPr="00556554">
        <w:rPr>
          <w:rFonts w:ascii="Helvetica" w:hAnsi="Helvetica"/>
          <w:b w:val="0"/>
          <w:i w:val="0"/>
          <w:sz w:val="22"/>
          <w:szCs w:val="22"/>
        </w:rPr>
        <w:t>: individual(s) named by a testator to execute the terms of a will</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lastRenderedPageBreak/>
        <w:t>Guardian</w:t>
      </w:r>
      <w:r w:rsidRPr="00556554">
        <w:rPr>
          <w:rFonts w:ascii="Helvetica" w:hAnsi="Helvetica"/>
          <w:b w:val="0"/>
          <w:i w:val="0"/>
          <w:sz w:val="22"/>
          <w:szCs w:val="22"/>
        </w:rPr>
        <w:t>: individual named by the court (or by a minor child of 14 +) to guard the interest of a minor or incompetent individual in an estate</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Heirs-at-Law</w:t>
      </w:r>
      <w:r w:rsidRPr="00556554">
        <w:rPr>
          <w:rFonts w:ascii="Helvetica" w:hAnsi="Helvetica"/>
          <w:b w:val="0"/>
          <w:i w:val="0"/>
          <w:sz w:val="22"/>
          <w:szCs w:val="22"/>
        </w:rPr>
        <w:t>: in intestate estates, all individuals considered heirs according to State Law</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Intestate Estate</w:t>
      </w:r>
      <w:r w:rsidRPr="00556554">
        <w:rPr>
          <w:rFonts w:ascii="Helvetica" w:hAnsi="Helvetica"/>
          <w:b w:val="0"/>
          <w:i w:val="0"/>
          <w:sz w:val="22"/>
          <w:szCs w:val="22"/>
        </w:rPr>
        <w:t>: an estate without a valid will</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Personal Property</w:t>
      </w:r>
      <w:r w:rsidRPr="00556554">
        <w:rPr>
          <w:rFonts w:ascii="Helvetica" w:hAnsi="Helvetica"/>
          <w:b w:val="0"/>
          <w:i w:val="0"/>
          <w:sz w:val="22"/>
          <w:szCs w:val="22"/>
        </w:rPr>
        <w:t>: property that is moveable (spoons, beds, cupboards, horses)</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Real Property</w:t>
      </w:r>
      <w:r w:rsidRPr="00556554">
        <w:rPr>
          <w:rFonts w:ascii="Helvetica" w:hAnsi="Helvetica"/>
          <w:b w:val="0"/>
          <w:i w:val="0"/>
          <w:sz w:val="22"/>
          <w:szCs w:val="22"/>
        </w:rPr>
        <w:t xml:space="preserve">: property that cannot be moved (land, buildings, </w:t>
      </w:r>
      <w:proofErr w:type="spellStart"/>
      <w:r w:rsidRPr="00556554">
        <w:rPr>
          <w:rFonts w:ascii="Helvetica" w:hAnsi="Helvetica"/>
          <w:b w:val="0"/>
          <w:i w:val="0"/>
          <w:sz w:val="22"/>
          <w:szCs w:val="22"/>
        </w:rPr>
        <w:t>etc</w:t>
      </w:r>
      <w:proofErr w:type="spellEnd"/>
      <w:r w:rsidRPr="00556554">
        <w:rPr>
          <w:rFonts w:ascii="Helvetica" w:hAnsi="Helvetica"/>
          <w:b w:val="0"/>
          <w:i w:val="0"/>
          <w:sz w:val="22"/>
          <w:szCs w:val="22"/>
        </w:rPr>
        <w:t>)</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Testate Estate</w:t>
      </w:r>
      <w:r w:rsidRPr="00556554">
        <w:rPr>
          <w:rFonts w:ascii="Helvetica" w:hAnsi="Helvetica"/>
          <w:b w:val="0"/>
          <w:i w:val="0"/>
          <w:sz w:val="22"/>
          <w:szCs w:val="22"/>
        </w:rPr>
        <w:t>: an estate with a valid will</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Testator</w:t>
      </w:r>
      <w:r w:rsidRPr="00556554">
        <w:rPr>
          <w:rFonts w:ascii="Helvetica" w:hAnsi="Helvetica"/>
          <w:b w:val="0"/>
          <w:i w:val="0"/>
          <w:sz w:val="22"/>
          <w:szCs w:val="22"/>
        </w:rPr>
        <w:t>: the author of a will</w:t>
      </w:r>
    </w:p>
    <w:p w:rsidR="000B68BC" w:rsidRPr="00556554" w:rsidRDefault="000B68BC" w:rsidP="00556554">
      <w:pPr>
        <w:pStyle w:val="Title"/>
        <w:numPr>
          <w:ilvl w:val="0"/>
          <w:numId w:val="21"/>
        </w:numPr>
        <w:spacing w:after="0"/>
        <w:jc w:val="left"/>
        <w:rPr>
          <w:rFonts w:ascii="Helvetica" w:hAnsi="Helvetica"/>
          <w:b w:val="0"/>
          <w:i w:val="0"/>
          <w:sz w:val="22"/>
          <w:szCs w:val="22"/>
        </w:rPr>
      </w:pPr>
      <w:r w:rsidRPr="005F37A1">
        <w:rPr>
          <w:rFonts w:ascii="Helvetica" w:hAnsi="Helvetica"/>
          <w:i w:val="0"/>
          <w:sz w:val="22"/>
          <w:szCs w:val="22"/>
        </w:rPr>
        <w:t>Valid Will</w:t>
      </w:r>
      <w:r w:rsidRPr="00556554">
        <w:rPr>
          <w:rFonts w:ascii="Helvetica" w:hAnsi="Helvetica"/>
          <w:b w:val="0"/>
          <w:i w:val="0"/>
          <w:sz w:val="22"/>
          <w:szCs w:val="22"/>
        </w:rPr>
        <w:t>: a will that has been proved by the court to have been written by someone of legal age, of sound mind, and without restraint.</w:t>
      </w:r>
    </w:p>
    <w:p w:rsidR="00065A67" w:rsidRDefault="00065A67" w:rsidP="005F37A1">
      <w:pPr>
        <w:pStyle w:val="Title"/>
        <w:spacing w:before="120" w:after="120"/>
        <w:jc w:val="left"/>
        <w:rPr>
          <w:rFonts w:ascii="Helvetica" w:hAnsi="Helvetica"/>
          <w:i w:val="0"/>
          <w:sz w:val="28"/>
          <w:szCs w:val="28"/>
        </w:rPr>
      </w:pPr>
    </w:p>
    <w:p w:rsidR="000B68BC" w:rsidRPr="004F2F4C" w:rsidRDefault="000B68BC" w:rsidP="005F37A1">
      <w:pPr>
        <w:pStyle w:val="Title"/>
        <w:spacing w:before="120" w:after="120"/>
        <w:jc w:val="left"/>
        <w:rPr>
          <w:sz w:val="28"/>
          <w:szCs w:val="28"/>
        </w:rPr>
      </w:pPr>
      <w:r w:rsidRPr="005F37A1">
        <w:rPr>
          <w:rFonts w:ascii="Helvetica" w:hAnsi="Helvetica"/>
          <w:i w:val="0"/>
          <w:sz w:val="28"/>
          <w:szCs w:val="28"/>
        </w:rPr>
        <w:t>THE PROBATE PROCESS</w:t>
      </w:r>
    </w:p>
    <w:p w:rsidR="000B68BC" w:rsidRPr="004F2F4C" w:rsidRDefault="000B68BC" w:rsidP="005F37A1">
      <w:pPr>
        <w:pStyle w:val="NoSpacing"/>
        <w:rPr>
          <w:b/>
        </w:rPr>
      </w:pPr>
      <w:r w:rsidRPr="005F37A1">
        <w:rPr>
          <w:rFonts w:ascii="Helvetica" w:eastAsia="Times New Roman" w:hAnsi="Helvetica"/>
          <w:b/>
          <w:bCs/>
          <w:iCs/>
        </w:rPr>
        <w:t>Testate Estates (with a Valid Will)</w:t>
      </w:r>
    </w:p>
    <w:p w:rsidR="000B68BC" w:rsidRPr="005F37A1" w:rsidRDefault="000B68BC" w:rsidP="005F37A1">
      <w:pPr>
        <w:pStyle w:val="NoSpacing"/>
        <w:numPr>
          <w:ilvl w:val="0"/>
          <w:numId w:val="22"/>
        </w:numPr>
        <w:rPr>
          <w:rFonts w:ascii="Helvetica" w:eastAsia="Times New Roman" w:hAnsi="Helvetica"/>
          <w:bCs/>
          <w:iCs/>
        </w:rPr>
      </w:pPr>
      <w:r w:rsidRPr="005F37A1">
        <w:rPr>
          <w:rFonts w:ascii="Helvetica" w:eastAsia="Times New Roman" w:hAnsi="Helvetica"/>
          <w:bCs/>
          <w:iCs/>
        </w:rPr>
        <w:t>A will is written (with date, signature, seal, and witnesses) naming heirs and executor(s);  the author passes away</w:t>
      </w:r>
    </w:p>
    <w:p w:rsidR="000B68BC" w:rsidRPr="005F37A1" w:rsidRDefault="000B68BC" w:rsidP="005F37A1">
      <w:pPr>
        <w:pStyle w:val="NoSpacing"/>
        <w:numPr>
          <w:ilvl w:val="0"/>
          <w:numId w:val="22"/>
        </w:numPr>
        <w:rPr>
          <w:rFonts w:ascii="Helvetica" w:eastAsia="Times New Roman" w:hAnsi="Helvetica"/>
          <w:bCs/>
          <w:iCs/>
        </w:rPr>
      </w:pPr>
      <w:r w:rsidRPr="005F37A1">
        <w:rPr>
          <w:rFonts w:ascii="Helvetica" w:eastAsia="Times New Roman" w:hAnsi="Helvetica"/>
          <w:bCs/>
          <w:iCs/>
        </w:rPr>
        <w:t>The executor(s) file a petition with the probate court to begin the process; a court date is set</w:t>
      </w:r>
    </w:p>
    <w:p w:rsidR="000B68BC" w:rsidRPr="005F37A1" w:rsidRDefault="000B68BC" w:rsidP="005F37A1">
      <w:pPr>
        <w:pStyle w:val="NoSpacing"/>
        <w:numPr>
          <w:ilvl w:val="0"/>
          <w:numId w:val="22"/>
        </w:numPr>
        <w:rPr>
          <w:rFonts w:ascii="Helvetica" w:eastAsia="Times New Roman" w:hAnsi="Helvetica"/>
          <w:bCs/>
          <w:iCs/>
        </w:rPr>
      </w:pPr>
      <w:r w:rsidRPr="005F37A1">
        <w:rPr>
          <w:rFonts w:ascii="Helvetica" w:eastAsia="Times New Roman" w:hAnsi="Helvetica"/>
          <w:bCs/>
          <w:iCs/>
        </w:rPr>
        <w:t>Notice of the probate and the court date is published in the local paper (or heirs are otherwise informed)</w:t>
      </w:r>
    </w:p>
    <w:p w:rsidR="000B68BC" w:rsidRPr="005F37A1" w:rsidRDefault="000B68BC" w:rsidP="005F37A1">
      <w:pPr>
        <w:pStyle w:val="NoSpacing"/>
        <w:numPr>
          <w:ilvl w:val="0"/>
          <w:numId w:val="22"/>
        </w:numPr>
        <w:rPr>
          <w:rFonts w:ascii="Helvetica" w:eastAsia="Times New Roman" w:hAnsi="Helvetica"/>
          <w:bCs/>
          <w:iCs/>
        </w:rPr>
      </w:pPr>
      <w:r w:rsidRPr="005F37A1">
        <w:rPr>
          <w:rFonts w:ascii="Helvetica" w:eastAsia="Times New Roman" w:hAnsi="Helvetica"/>
          <w:bCs/>
          <w:iCs/>
        </w:rPr>
        <w:t>In court, witnesses attest to the signing of the will; the court determines the will’s validity</w:t>
      </w:r>
    </w:p>
    <w:p w:rsidR="000B68BC" w:rsidRPr="005F37A1" w:rsidRDefault="000B68BC" w:rsidP="005F37A1">
      <w:pPr>
        <w:pStyle w:val="NoSpacing"/>
        <w:numPr>
          <w:ilvl w:val="0"/>
          <w:numId w:val="22"/>
        </w:numPr>
        <w:rPr>
          <w:rFonts w:ascii="Helvetica" w:eastAsia="Times New Roman" w:hAnsi="Helvetica"/>
          <w:bCs/>
          <w:iCs/>
        </w:rPr>
      </w:pPr>
      <w:r w:rsidRPr="005F37A1">
        <w:rPr>
          <w:rFonts w:ascii="Helvetica" w:eastAsia="Times New Roman" w:hAnsi="Helvetica"/>
          <w:bCs/>
          <w:iCs/>
        </w:rPr>
        <w:t>If the will is proven, Letters Testamentary are signed; if the will is contested and proven invalid, the estate is considered intestate</w:t>
      </w:r>
    </w:p>
    <w:p w:rsidR="000B68BC" w:rsidRPr="004F2F4C" w:rsidRDefault="000B68BC" w:rsidP="005F37A1">
      <w:pPr>
        <w:pStyle w:val="NoSpacing"/>
        <w:rPr>
          <w:b/>
        </w:rPr>
      </w:pPr>
      <w:r w:rsidRPr="005F37A1">
        <w:rPr>
          <w:rFonts w:ascii="Helvetica" w:eastAsia="Times New Roman" w:hAnsi="Helvetica"/>
          <w:b/>
          <w:bCs/>
          <w:iCs/>
        </w:rPr>
        <w:t>Intestate</w:t>
      </w:r>
      <w:r w:rsidRPr="004F2F4C">
        <w:rPr>
          <w:b/>
        </w:rPr>
        <w:t xml:space="preserve"> Estates</w:t>
      </w:r>
    </w:p>
    <w:p w:rsidR="000B68BC" w:rsidRPr="005F37A1" w:rsidRDefault="000B68BC" w:rsidP="005F37A1">
      <w:pPr>
        <w:pStyle w:val="NoSpacing"/>
        <w:numPr>
          <w:ilvl w:val="0"/>
          <w:numId w:val="23"/>
        </w:numPr>
        <w:rPr>
          <w:rFonts w:ascii="Helvetica" w:eastAsia="Times New Roman" w:hAnsi="Helvetica"/>
          <w:bCs/>
          <w:iCs/>
        </w:rPr>
      </w:pPr>
      <w:r w:rsidRPr="005F37A1">
        <w:rPr>
          <w:rFonts w:ascii="Helvetica" w:eastAsia="Times New Roman" w:hAnsi="Helvetica"/>
          <w:bCs/>
          <w:iCs/>
        </w:rPr>
        <w:t>An individual dies without leaving a valid will</w:t>
      </w:r>
    </w:p>
    <w:p w:rsidR="000B68BC" w:rsidRPr="005F37A1" w:rsidRDefault="000B68BC" w:rsidP="005F37A1">
      <w:pPr>
        <w:pStyle w:val="NoSpacing"/>
        <w:numPr>
          <w:ilvl w:val="0"/>
          <w:numId w:val="23"/>
        </w:numPr>
        <w:rPr>
          <w:rFonts w:ascii="Helvetica" w:eastAsia="Times New Roman" w:hAnsi="Helvetica"/>
          <w:bCs/>
          <w:iCs/>
        </w:rPr>
      </w:pPr>
      <w:r w:rsidRPr="005F37A1">
        <w:rPr>
          <w:rFonts w:ascii="Helvetica" w:eastAsia="Times New Roman" w:hAnsi="Helvetica"/>
          <w:bCs/>
          <w:iCs/>
        </w:rPr>
        <w:t>An interested party (potential heir or creditor) files a petition with the court to begin the probate process; a court date is set</w:t>
      </w:r>
    </w:p>
    <w:p w:rsidR="000B68BC" w:rsidRPr="005F37A1" w:rsidRDefault="000B68BC" w:rsidP="005F37A1">
      <w:pPr>
        <w:pStyle w:val="NoSpacing"/>
        <w:numPr>
          <w:ilvl w:val="0"/>
          <w:numId w:val="23"/>
        </w:numPr>
        <w:rPr>
          <w:rFonts w:ascii="Helvetica" w:eastAsia="Times New Roman" w:hAnsi="Helvetica"/>
          <w:bCs/>
          <w:iCs/>
        </w:rPr>
      </w:pPr>
      <w:r w:rsidRPr="005F37A1">
        <w:rPr>
          <w:rFonts w:ascii="Helvetica" w:eastAsia="Times New Roman" w:hAnsi="Helvetica"/>
          <w:bCs/>
          <w:iCs/>
        </w:rPr>
        <w:t>Notice of the probate and the court date is published in the local paper (or heirs are otherwise informed)</w:t>
      </w:r>
    </w:p>
    <w:p w:rsidR="000B68BC" w:rsidRPr="005F37A1" w:rsidRDefault="000B68BC" w:rsidP="005F37A1">
      <w:pPr>
        <w:pStyle w:val="NoSpacing"/>
        <w:numPr>
          <w:ilvl w:val="0"/>
          <w:numId w:val="23"/>
        </w:numPr>
        <w:rPr>
          <w:rFonts w:ascii="Helvetica" w:eastAsia="Times New Roman" w:hAnsi="Helvetica"/>
          <w:bCs/>
          <w:iCs/>
        </w:rPr>
      </w:pPr>
      <w:r w:rsidRPr="005F37A1">
        <w:rPr>
          <w:rFonts w:ascii="Helvetica" w:eastAsia="Times New Roman" w:hAnsi="Helvetica"/>
          <w:bCs/>
          <w:iCs/>
        </w:rPr>
        <w:t>In court, an administrator is chosen and Letters of Administration are signed</w:t>
      </w:r>
    </w:p>
    <w:p w:rsidR="000B68BC" w:rsidRPr="005F37A1" w:rsidRDefault="000B68BC" w:rsidP="005F37A1">
      <w:pPr>
        <w:pStyle w:val="NoSpacing"/>
        <w:rPr>
          <w:b/>
        </w:rPr>
      </w:pPr>
      <w:r w:rsidRPr="005F37A1">
        <w:rPr>
          <w:rFonts w:ascii="Helvetica" w:eastAsia="Times New Roman" w:hAnsi="Helvetica"/>
          <w:b/>
          <w:bCs/>
          <w:iCs/>
        </w:rPr>
        <w:t>Testate &amp; Intestate Estates</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The executor or administrator hires three appraisers to inventory the estate</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Dower is set aside for use by the widow</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If minor children (or incompetent individuals) are involved, a guardian is appointed</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Parts of the estate are sold to pay creditors and provide support for the widow/minor children</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The administrator, executor, or guardian files yearly accounts detailing the proceedings of the estate</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When the executor or administrator decides the estate is ready to be settled, they file a petition with the court and all heirs are notified</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Once all property has been distributed, a final accounting (final settlement) is filed with the court and the estate is closed</w:t>
      </w:r>
    </w:p>
    <w:p w:rsidR="000B68BC" w:rsidRPr="005F37A1" w:rsidRDefault="000B68BC" w:rsidP="005F37A1">
      <w:pPr>
        <w:pStyle w:val="NoSpacing"/>
        <w:numPr>
          <w:ilvl w:val="0"/>
          <w:numId w:val="24"/>
        </w:numPr>
        <w:rPr>
          <w:rFonts w:ascii="Helvetica" w:eastAsia="Times New Roman" w:hAnsi="Helvetica"/>
          <w:bCs/>
          <w:iCs/>
        </w:rPr>
      </w:pPr>
      <w:r w:rsidRPr="005F37A1">
        <w:rPr>
          <w:rFonts w:ascii="Helvetica" w:eastAsia="Times New Roman" w:hAnsi="Helvetica"/>
          <w:bCs/>
          <w:iCs/>
        </w:rPr>
        <w:t>A decree of distribution detailing the final ownership of property may be filed with the Recorder’s Office</w:t>
      </w:r>
    </w:p>
    <w:p w:rsidR="005F37A1" w:rsidRDefault="005F37A1" w:rsidP="000B68BC">
      <w:pPr>
        <w:rPr>
          <w:b/>
          <w:sz w:val="28"/>
          <w:szCs w:val="28"/>
        </w:rPr>
      </w:pPr>
    </w:p>
    <w:p w:rsidR="000B68BC" w:rsidRPr="005F37A1" w:rsidRDefault="000B68BC" w:rsidP="00D32CA6">
      <w:pPr>
        <w:pStyle w:val="Title"/>
        <w:spacing w:after="0"/>
        <w:jc w:val="left"/>
        <w:rPr>
          <w:rFonts w:ascii="Helvetica" w:hAnsi="Helvetica"/>
          <w:i w:val="0"/>
          <w:sz w:val="28"/>
          <w:szCs w:val="28"/>
        </w:rPr>
      </w:pPr>
      <w:r w:rsidRPr="005F37A1">
        <w:rPr>
          <w:rFonts w:ascii="Helvetica" w:hAnsi="Helvetica"/>
          <w:i w:val="0"/>
          <w:sz w:val="28"/>
          <w:szCs w:val="28"/>
        </w:rPr>
        <w:lastRenderedPageBreak/>
        <w:t>RECORDS PRODUCED BY PROBATE</w:t>
      </w:r>
    </w:p>
    <w:p w:rsidR="000B68BC" w:rsidRPr="007B485C" w:rsidRDefault="000B68BC" w:rsidP="00D32CA6">
      <w:pPr>
        <w:pStyle w:val="NoSpacing"/>
        <w:rPr>
          <w:b/>
        </w:rPr>
      </w:pPr>
      <w:r w:rsidRPr="005F37A1">
        <w:rPr>
          <w:rFonts w:ascii="Helvetica" w:eastAsia="Times New Roman" w:hAnsi="Helvetica"/>
          <w:b/>
          <w:bCs/>
          <w:iCs/>
        </w:rPr>
        <w:t>Wills</w:t>
      </w:r>
    </w:p>
    <w:p w:rsidR="000B68BC" w:rsidRPr="001916E5" w:rsidRDefault="000B68BC" w:rsidP="00D32CA6">
      <w:pPr>
        <w:pStyle w:val="NoSpacing"/>
        <w:numPr>
          <w:ilvl w:val="0"/>
          <w:numId w:val="30"/>
        </w:numPr>
        <w:rPr>
          <w:rFonts w:ascii="Helvetica" w:eastAsia="Times New Roman" w:hAnsi="Helvetica"/>
          <w:bCs/>
          <w:iCs/>
        </w:rPr>
      </w:pPr>
      <w:r w:rsidRPr="001916E5">
        <w:rPr>
          <w:rFonts w:ascii="Helvetica" w:eastAsia="Times New Roman" w:hAnsi="Helvetica"/>
          <w:bCs/>
          <w:iCs/>
        </w:rPr>
        <w:t>A will is a document written by an individual outlining what should happen to their estate following their decease. There are three major types of wills: attested wills, holographic wills (wills that are not witnessed), and nuncupative wills (deathbed wills). Wills can contain a variety of genealogical information including relationships, listings of property, indications of religious affiliation, and more.</w:t>
      </w:r>
    </w:p>
    <w:p w:rsidR="000B68BC" w:rsidRPr="001916E5" w:rsidRDefault="000B68BC" w:rsidP="00D32CA6">
      <w:pPr>
        <w:pStyle w:val="NoSpacing"/>
        <w:numPr>
          <w:ilvl w:val="0"/>
          <w:numId w:val="30"/>
        </w:numPr>
        <w:rPr>
          <w:rFonts w:ascii="Helvetica" w:eastAsia="Times New Roman" w:hAnsi="Helvetica"/>
          <w:bCs/>
          <w:iCs/>
        </w:rPr>
      </w:pPr>
      <w:r w:rsidRPr="001916E5">
        <w:rPr>
          <w:rFonts w:ascii="Helvetica" w:eastAsia="Times New Roman" w:hAnsi="Helvetica"/>
          <w:bCs/>
          <w:iCs/>
        </w:rPr>
        <w:t xml:space="preserve">Wills, however, do have some limitations. Some testators simply name their heirs without indicating relationships. Others may not include all of their children as heirs. This may be because the children have already received their inheritance (upon reaching their age of majority) or may have been disowned. </w:t>
      </w:r>
    </w:p>
    <w:p w:rsidR="000B68BC" w:rsidRPr="005F37A1" w:rsidRDefault="000B68BC" w:rsidP="00D32CA6">
      <w:pPr>
        <w:pStyle w:val="NoSpacing"/>
        <w:rPr>
          <w:rFonts w:ascii="Helvetica" w:eastAsia="Times New Roman" w:hAnsi="Helvetica"/>
          <w:b/>
          <w:bCs/>
          <w:iCs/>
        </w:rPr>
      </w:pPr>
      <w:r w:rsidRPr="005F37A1">
        <w:rPr>
          <w:rFonts w:ascii="Helvetica" w:eastAsia="Times New Roman" w:hAnsi="Helvetica"/>
          <w:b/>
          <w:bCs/>
          <w:iCs/>
        </w:rPr>
        <w:t>Petitions</w:t>
      </w:r>
    </w:p>
    <w:p w:rsidR="000B68BC" w:rsidRPr="007B485C" w:rsidRDefault="000B68BC" w:rsidP="00D32CA6">
      <w:pPr>
        <w:pStyle w:val="NoSpacing"/>
        <w:numPr>
          <w:ilvl w:val="0"/>
          <w:numId w:val="31"/>
        </w:numPr>
      </w:pPr>
      <w:r w:rsidRPr="001916E5">
        <w:rPr>
          <w:rFonts w:ascii="Helvetica" w:eastAsia="Times New Roman" w:hAnsi="Helvetica"/>
          <w:bCs/>
          <w:iCs/>
        </w:rPr>
        <w:t xml:space="preserve">A petition begins the probate process. A petition informs the probate court that an individual has died and that their estate should enter probate. Petitions may include the decedent’s date and place of death or list all potential heirs (even if there is a will) and their current residences. </w:t>
      </w:r>
    </w:p>
    <w:p w:rsidR="000B68BC" w:rsidRPr="005F37A1" w:rsidRDefault="000B68BC" w:rsidP="00D32CA6">
      <w:pPr>
        <w:pStyle w:val="NoSpacing"/>
        <w:rPr>
          <w:rFonts w:ascii="Helvetica" w:eastAsia="Times New Roman" w:hAnsi="Helvetica"/>
          <w:b/>
          <w:bCs/>
          <w:iCs/>
        </w:rPr>
      </w:pPr>
      <w:r w:rsidRPr="005F37A1">
        <w:rPr>
          <w:rFonts w:ascii="Helvetica" w:eastAsia="Times New Roman" w:hAnsi="Helvetica"/>
          <w:b/>
          <w:bCs/>
          <w:iCs/>
        </w:rPr>
        <w:t>Proving of the Will</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When a will enters probate, it must be proved valid and as the true and accurate account of the testator. Witnesses are summoned to attest that they were present when the will was signed. Those wishing to contest the validity of the will can also present their case at this time. Once a will has been proved it is copied into the court records followed by a paragraph indicating that the witnesses were present and the will was proved. The proving of the will can be used to determine approximate date of death when no other records of death exist.</w:t>
      </w:r>
    </w:p>
    <w:p w:rsidR="000B68BC" w:rsidRPr="007B485C" w:rsidRDefault="000B68BC" w:rsidP="00D32CA6">
      <w:pPr>
        <w:pStyle w:val="NoSpacing"/>
        <w:rPr>
          <w:b/>
        </w:rPr>
      </w:pPr>
      <w:r w:rsidRPr="005F37A1">
        <w:rPr>
          <w:rFonts w:ascii="Helvetica" w:eastAsia="Times New Roman" w:hAnsi="Helvetica"/>
          <w:b/>
          <w:bCs/>
          <w:iCs/>
        </w:rPr>
        <w:t>Letters Testamentary/Letters of Administration</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 xml:space="preserve">Once an executor has been confirmed or an administrator appointed the court issues Letters Testamentary (executor) or Letters of Administration (administrator). Letters indicate the executor or administrator has permission from the court to act on behalf of the estate. </w:t>
      </w:r>
    </w:p>
    <w:p w:rsidR="000B68BC" w:rsidRPr="007B485C" w:rsidRDefault="000B68BC" w:rsidP="00D32CA6">
      <w:pPr>
        <w:pStyle w:val="NoSpacing"/>
        <w:rPr>
          <w:b/>
        </w:rPr>
      </w:pPr>
      <w:r w:rsidRPr="005F37A1">
        <w:rPr>
          <w:rFonts w:ascii="Helvetica" w:eastAsia="Times New Roman" w:hAnsi="Helvetica"/>
          <w:b/>
          <w:bCs/>
          <w:iCs/>
        </w:rPr>
        <w:t>Bonds</w:t>
      </w:r>
    </w:p>
    <w:p w:rsidR="000B68BC" w:rsidRPr="007B485C" w:rsidRDefault="000B68BC" w:rsidP="00D32CA6">
      <w:pPr>
        <w:pStyle w:val="NoSpacing"/>
        <w:numPr>
          <w:ilvl w:val="0"/>
          <w:numId w:val="31"/>
        </w:numPr>
      </w:pPr>
      <w:r w:rsidRPr="001916E5">
        <w:rPr>
          <w:rFonts w:ascii="Helvetica" w:eastAsia="Times New Roman" w:hAnsi="Helvetica"/>
          <w:bCs/>
          <w:iCs/>
        </w:rPr>
        <w:t>Most states require that executors, administrators, and guardians sign a bond. A bond is a guarantee that if the estate is not settled properly (if the finances are mishandled) the executor, administrator, or guardian will pay a sum of money usually equal to the estimated worth of the estate. Bonds are also signed by two sureties or bondsmen who agree to pay the bond if the signee is unable to. The value in bonds lies in the names of the sureties who are often related to the person signing the bond. (The person signing the bond is often related to the decedent.)</w:t>
      </w:r>
    </w:p>
    <w:p w:rsidR="000B68BC" w:rsidRPr="007B485C" w:rsidRDefault="000B68BC" w:rsidP="00D32CA6">
      <w:pPr>
        <w:pStyle w:val="NoSpacing"/>
        <w:rPr>
          <w:b/>
        </w:rPr>
      </w:pPr>
      <w:r w:rsidRPr="005F37A1">
        <w:rPr>
          <w:rFonts w:ascii="Helvetica" w:eastAsia="Times New Roman" w:hAnsi="Helvetica"/>
          <w:b/>
          <w:bCs/>
          <w:iCs/>
        </w:rPr>
        <w:t>Guardianships</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 xml:space="preserve">A guardian protects the interests of a minor (or incompetent individual) in an estate. Guardians are chosen by the court for minors under the age of fourteen or by the minors themselves (once they reach the age of fourteen). Guardianships will list the names of all minor children involved and their relationship to the decedent. Guardians are usually related to the decedent or their spouse. </w:t>
      </w:r>
    </w:p>
    <w:p w:rsidR="000B68BC" w:rsidRPr="007B485C" w:rsidRDefault="000B68BC" w:rsidP="00D32CA6">
      <w:pPr>
        <w:pStyle w:val="NoSpacing"/>
        <w:rPr>
          <w:b/>
        </w:rPr>
      </w:pPr>
      <w:r w:rsidRPr="005F37A1">
        <w:rPr>
          <w:rFonts w:ascii="Helvetica" w:eastAsia="Times New Roman" w:hAnsi="Helvetica"/>
          <w:b/>
          <w:bCs/>
          <w:iCs/>
        </w:rPr>
        <w:t>Inventories &amp; Appraisements</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The value of an estate had to be determined before an estate could be settled. The administrator or executor hires three individuals to appraise the estate and list all assets, including debts. (Not all states required that real property be included in the inventory.) Inventories can indicate socioeconomic status, property ownership, and individuals doing business with the decedent.</w:t>
      </w:r>
    </w:p>
    <w:p w:rsidR="000B68BC" w:rsidRPr="007B485C" w:rsidRDefault="000B68BC" w:rsidP="00D32CA6">
      <w:pPr>
        <w:pStyle w:val="NoSpacing"/>
        <w:rPr>
          <w:b/>
        </w:rPr>
      </w:pPr>
      <w:r w:rsidRPr="005F37A1">
        <w:rPr>
          <w:rFonts w:ascii="Helvetica" w:eastAsia="Times New Roman" w:hAnsi="Helvetica"/>
          <w:b/>
          <w:bCs/>
          <w:iCs/>
        </w:rPr>
        <w:lastRenderedPageBreak/>
        <w:t>Dower</w:t>
      </w:r>
    </w:p>
    <w:p w:rsidR="000B68BC" w:rsidRPr="007B485C" w:rsidRDefault="000B68BC" w:rsidP="00D32CA6">
      <w:pPr>
        <w:pStyle w:val="NoSpacing"/>
        <w:numPr>
          <w:ilvl w:val="0"/>
          <w:numId w:val="31"/>
        </w:numPr>
      </w:pPr>
      <w:r w:rsidRPr="001916E5">
        <w:rPr>
          <w:rFonts w:ascii="Helvetica" w:eastAsia="Times New Roman" w:hAnsi="Helvetica"/>
          <w:bCs/>
          <w:iCs/>
        </w:rPr>
        <w:t xml:space="preserve">In most states, widows had a right to one third of their husband’s property following his decease. Widows named in a will had the right to refuse their inheritance in favor of dower (or vice versa). Dower was often set off as part of the appraisement process and may be detailed in the inventory. </w:t>
      </w:r>
    </w:p>
    <w:p w:rsidR="000B68BC" w:rsidRPr="007B485C" w:rsidRDefault="000B68BC" w:rsidP="00D32CA6">
      <w:pPr>
        <w:pStyle w:val="NoSpacing"/>
        <w:rPr>
          <w:b/>
        </w:rPr>
      </w:pPr>
      <w:r w:rsidRPr="005F37A1">
        <w:rPr>
          <w:rFonts w:ascii="Helvetica" w:eastAsia="Times New Roman" w:hAnsi="Helvetica"/>
          <w:b/>
          <w:bCs/>
          <w:iCs/>
        </w:rPr>
        <w:t>Bills of Sale</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 xml:space="preserve">In order to pay the debts of an estate, support the widow and children, or distribute the property of an estate, it was often necessary to sell some of the estate at public auction. The final bills of sale from these auctions were filed with the court. Bills of sale list the names of individuals who purchased items at the auction. These individuals are often relatives, friends, and neighbors of the decedent. </w:t>
      </w:r>
    </w:p>
    <w:p w:rsidR="000B68BC" w:rsidRPr="007B485C" w:rsidRDefault="000B68BC" w:rsidP="00D32CA6">
      <w:pPr>
        <w:pStyle w:val="NoSpacing"/>
        <w:rPr>
          <w:b/>
        </w:rPr>
      </w:pPr>
      <w:r w:rsidRPr="005F37A1">
        <w:rPr>
          <w:rFonts w:ascii="Helvetica" w:eastAsia="Times New Roman" w:hAnsi="Helvetica"/>
          <w:b/>
          <w:bCs/>
          <w:iCs/>
        </w:rPr>
        <w:t>Annual Accountings</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Administrators (and sometimes executors) were required to file an annual accounting of the proceedings of the estate indicating the increases and payments from the estate. Accountings may list early distributions to heirs as well as the names of creditors.</w:t>
      </w:r>
    </w:p>
    <w:p w:rsidR="000B68BC" w:rsidRPr="007B485C" w:rsidRDefault="000B68BC" w:rsidP="00D32CA6">
      <w:pPr>
        <w:pStyle w:val="NoSpacing"/>
        <w:rPr>
          <w:b/>
        </w:rPr>
      </w:pPr>
      <w:r w:rsidRPr="005F37A1">
        <w:rPr>
          <w:rFonts w:ascii="Helvetica" w:eastAsia="Times New Roman" w:hAnsi="Helvetica"/>
          <w:b/>
          <w:bCs/>
          <w:iCs/>
        </w:rPr>
        <w:t>Settlement of the Estate</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 xml:space="preserve">After the property has been distributed, the administrator or executor files an Estate Settlement. This document indicates the amounts paid out to the heirs. In an intestate estate, the final settlement should name all of the heirs as determined by law (known as heirs-at-law). Those considered primary heirs can be identified based on the percentage of the estate they received. </w:t>
      </w:r>
    </w:p>
    <w:p w:rsidR="000B68BC" w:rsidRPr="007B485C" w:rsidRDefault="000B68BC" w:rsidP="00D32CA6">
      <w:pPr>
        <w:pStyle w:val="NoSpacing"/>
        <w:rPr>
          <w:b/>
        </w:rPr>
      </w:pPr>
      <w:r w:rsidRPr="005F37A1">
        <w:rPr>
          <w:rFonts w:ascii="Helvetica" w:eastAsia="Times New Roman" w:hAnsi="Helvetica"/>
          <w:b/>
          <w:bCs/>
          <w:iCs/>
        </w:rPr>
        <w:t>Decrees of Distribution</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A decree of distribution documents the transfer of property from the decedent to his or her heirs. (If land is involved, a copy of the decree may also be filed with the recorder’s office.) Decrees have been required only for more recent probates. Decrees will name all of the heirs and their inheritance.</w:t>
      </w:r>
    </w:p>
    <w:p w:rsidR="000B68BC" w:rsidRPr="007B485C" w:rsidRDefault="000B68BC" w:rsidP="00D32CA6">
      <w:pPr>
        <w:pStyle w:val="NoSpacing"/>
        <w:rPr>
          <w:b/>
        </w:rPr>
      </w:pPr>
      <w:r w:rsidRPr="005F37A1">
        <w:rPr>
          <w:rFonts w:ascii="Helvetica" w:eastAsia="Times New Roman" w:hAnsi="Helvetica"/>
          <w:b/>
          <w:bCs/>
          <w:iCs/>
        </w:rPr>
        <w:t>Receipts</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As an executor or administrator pays expenses and debts owed by the estate, receipts are issued which are collected and filed with the annual accountings and final settlement. Among these will be receipts signed by the heirs as they receive money from the estate. Receipts give clues to the decedent’s business relationships as well as information about the heirs including signatures, married names and spouses, current residences, and more.</w:t>
      </w:r>
    </w:p>
    <w:p w:rsidR="000B68BC" w:rsidRPr="007B485C" w:rsidRDefault="000B68BC" w:rsidP="00D32CA6">
      <w:pPr>
        <w:pStyle w:val="NoSpacing"/>
        <w:rPr>
          <w:b/>
        </w:rPr>
      </w:pPr>
      <w:r w:rsidRPr="005F37A1">
        <w:rPr>
          <w:rFonts w:ascii="Helvetica" w:eastAsia="Times New Roman" w:hAnsi="Helvetica"/>
          <w:b/>
          <w:bCs/>
          <w:iCs/>
        </w:rPr>
        <w:t>Court Cases</w:t>
      </w:r>
    </w:p>
    <w:p w:rsidR="000B68BC" w:rsidRPr="001916E5" w:rsidRDefault="000B68BC" w:rsidP="00D32CA6">
      <w:pPr>
        <w:pStyle w:val="NoSpacing"/>
        <w:numPr>
          <w:ilvl w:val="0"/>
          <w:numId w:val="31"/>
        </w:numPr>
        <w:rPr>
          <w:rFonts w:ascii="Helvetica" w:eastAsia="Times New Roman" w:hAnsi="Helvetica"/>
          <w:bCs/>
          <w:iCs/>
        </w:rPr>
      </w:pPr>
      <w:r w:rsidRPr="001916E5">
        <w:rPr>
          <w:rFonts w:ascii="Helvetica" w:eastAsia="Times New Roman" w:hAnsi="Helvetica"/>
          <w:bCs/>
          <w:iCs/>
        </w:rPr>
        <w:t xml:space="preserve">Heirs (or potential heirs) may generate court cases throughout the probate process. Heirs may contest the will, sue the executor for failure to perform his duties, request the executor/administrator be replaced, etc. Copies of probate related court cases may be found with the probate court as well as with the clerk of the court. </w:t>
      </w:r>
    </w:p>
    <w:p w:rsidR="000B68BC" w:rsidRPr="007B485C" w:rsidRDefault="000B68BC" w:rsidP="00D32CA6">
      <w:pPr>
        <w:pStyle w:val="NoSpacing"/>
        <w:rPr>
          <w:b/>
        </w:rPr>
      </w:pPr>
      <w:r w:rsidRPr="005F37A1">
        <w:rPr>
          <w:rFonts w:ascii="Helvetica" w:eastAsia="Times New Roman" w:hAnsi="Helvetica"/>
          <w:b/>
          <w:bCs/>
          <w:iCs/>
        </w:rPr>
        <w:t>Partitions</w:t>
      </w:r>
    </w:p>
    <w:p w:rsidR="000B68BC" w:rsidRPr="001916E5" w:rsidRDefault="000B68BC" w:rsidP="00D32CA6">
      <w:pPr>
        <w:pStyle w:val="ListParagraph"/>
        <w:numPr>
          <w:ilvl w:val="0"/>
          <w:numId w:val="31"/>
        </w:numPr>
        <w:rPr>
          <w:rFonts w:ascii="Helvetica" w:hAnsi="Helvetica"/>
          <w:bCs/>
          <w:iCs/>
          <w:sz w:val="22"/>
          <w:szCs w:val="22"/>
        </w:rPr>
      </w:pPr>
      <w:r w:rsidRPr="001916E5">
        <w:rPr>
          <w:rFonts w:ascii="Helvetica" w:hAnsi="Helvetica"/>
          <w:bCs/>
          <w:iCs/>
          <w:sz w:val="22"/>
          <w:szCs w:val="22"/>
        </w:rPr>
        <w:t>Partition is the process of dividing a piece of land owned jointly by several individuals. Though not part of the probate process, a probate often leads to partition (as several individuals inherit the same piece of land). Partition begins when one of the owners sues the remaining owners. Partitions may include the names and spouses of the all the owners (heirs) and their current residences.</w:t>
      </w:r>
    </w:p>
    <w:p w:rsidR="000B68BC" w:rsidRDefault="000B68BC" w:rsidP="00D32CA6">
      <w:pPr>
        <w:pStyle w:val="NoSpacing"/>
      </w:pPr>
    </w:p>
    <w:p w:rsidR="000B68BC" w:rsidRDefault="000B68BC" w:rsidP="000B68BC"/>
    <w:p w:rsidR="000B68BC" w:rsidRDefault="000B68BC" w:rsidP="000B68BC">
      <w:pPr>
        <w:rPr>
          <w:b/>
          <w:sz w:val="28"/>
          <w:szCs w:val="28"/>
        </w:rPr>
      </w:pPr>
    </w:p>
    <w:p w:rsidR="00D32CA6" w:rsidRDefault="00D32CA6" w:rsidP="000B68BC">
      <w:pPr>
        <w:rPr>
          <w:b/>
          <w:sz w:val="28"/>
          <w:szCs w:val="28"/>
        </w:rPr>
      </w:pPr>
    </w:p>
    <w:p w:rsidR="000B68BC" w:rsidRPr="00D32CA6" w:rsidRDefault="000B68BC" w:rsidP="00D32CA6">
      <w:pPr>
        <w:pStyle w:val="Title"/>
        <w:spacing w:after="0"/>
        <w:jc w:val="left"/>
        <w:rPr>
          <w:rFonts w:ascii="Helvetica" w:hAnsi="Helvetica"/>
          <w:i w:val="0"/>
          <w:sz w:val="28"/>
          <w:szCs w:val="28"/>
        </w:rPr>
      </w:pPr>
      <w:r w:rsidRPr="00D32CA6">
        <w:rPr>
          <w:rFonts w:ascii="Helvetica" w:hAnsi="Helvetica"/>
          <w:i w:val="0"/>
          <w:sz w:val="28"/>
          <w:szCs w:val="28"/>
        </w:rPr>
        <w:lastRenderedPageBreak/>
        <w:t>RECORDS OF PROBATE</w:t>
      </w:r>
    </w:p>
    <w:p w:rsidR="00D32CA6" w:rsidRDefault="000B68BC" w:rsidP="00D32CA6">
      <w:pPr>
        <w:pStyle w:val="NoSpacing"/>
        <w:rPr>
          <w:rFonts w:ascii="Helvetica" w:eastAsia="Times New Roman" w:hAnsi="Helvetica"/>
          <w:b/>
          <w:bCs/>
          <w:iCs/>
        </w:rPr>
      </w:pPr>
      <w:r w:rsidRPr="00D32CA6">
        <w:rPr>
          <w:rFonts w:ascii="Helvetica" w:eastAsia="Times New Roman" w:hAnsi="Helvetica"/>
          <w:b/>
          <w:bCs/>
          <w:iCs/>
        </w:rPr>
        <w:t xml:space="preserve">Probate </w:t>
      </w:r>
      <w:r w:rsidR="00D32CA6">
        <w:rPr>
          <w:rFonts w:ascii="Helvetica" w:eastAsia="Times New Roman" w:hAnsi="Helvetica"/>
          <w:b/>
          <w:bCs/>
          <w:iCs/>
        </w:rPr>
        <w:t>B</w:t>
      </w:r>
      <w:r w:rsidRPr="00D32CA6">
        <w:rPr>
          <w:rFonts w:ascii="Helvetica" w:eastAsia="Times New Roman" w:hAnsi="Helvetica"/>
          <w:b/>
          <w:bCs/>
          <w:iCs/>
        </w:rPr>
        <w:t>ooks</w:t>
      </w:r>
    </w:p>
    <w:p w:rsidR="000B68BC" w:rsidRPr="00355B81" w:rsidRDefault="00065A67" w:rsidP="00D32CA6">
      <w:pPr>
        <w:pStyle w:val="NoSpacing"/>
        <w:numPr>
          <w:ilvl w:val="0"/>
          <w:numId w:val="31"/>
        </w:numPr>
        <w:rPr>
          <w:rFonts w:ascii="Palatino Linotype" w:hAnsi="Palatino Linotype"/>
          <w:b/>
        </w:rPr>
      </w:pPr>
      <w:r>
        <w:rPr>
          <w:rFonts w:ascii="Helvetica" w:eastAsia="Times New Roman" w:hAnsi="Helvetica"/>
          <w:bCs/>
          <w:iCs/>
        </w:rPr>
        <w:t>C</w:t>
      </w:r>
      <w:r w:rsidR="000B68BC" w:rsidRPr="00D32CA6">
        <w:rPr>
          <w:rFonts w:ascii="Helvetica" w:eastAsia="Times New Roman" w:hAnsi="Helvetica"/>
          <w:bCs/>
          <w:iCs/>
        </w:rPr>
        <w:t xml:space="preserve">ontain records that were copied by hand by the clerk of the probate court. Probate Journals, Will Books, Bonds, Guardianships, and Dockets (which references the location of an individual’s probate in other books) are kept by the Probate Court. </w:t>
      </w:r>
    </w:p>
    <w:p w:rsidR="00D32CA6" w:rsidRDefault="000B68BC" w:rsidP="00D32CA6">
      <w:pPr>
        <w:pStyle w:val="NoSpacing"/>
        <w:rPr>
          <w:rFonts w:ascii="Helvetica" w:eastAsia="Times New Roman" w:hAnsi="Helvetica"/>
          <w:b/>
          <w:bCs/>
          <w:iCs/>
        </w:rPr>
      </w:pPr>
      <w:r w:rsidRPr="00D32CA6">
        <w:rPr>
          <w:rFonts w:ascii="Helvetica" w:eastAsia="Times New Roman" w:hAnsi="Helvetica"/>
          <w:b/>
          <w:bCs/>
          <w:iCs/>
        </w:rPr>
        <w:t>Probate packets or Estate files</w:t>
      </w:r>
    </w:p>
    <w:p w:rsidR="000B68BC" w:rsidRPr="00355B81" w:rsidRDefault="00065A67" w:rsidP="00D32CA6">
      <w:pPr>
        <w:pStyle w:val="NoSpacing"/>
        <w:numPr>
          <w:ilvl w:val="0"/>
          <w:numId w:val="31"/>
        </w:numPr>
        <w:rPr>
          <w:rFonts w:ascii="Palatino Linotype" w:hAnsi="Palatino Linotype"/>
          <w:b/>
        </w:rPr>
      </w:pPr>
      <w:r>
        <w:rPr>
          <w:rFonts w:ascii="Helvetica" w:eastAsia="Times New Roman" w:hAnsi="Helvetica"/>
          <w:bCs/>
          <w:iCs/>
        </w:rPr>
        <w:t>C</w:t>
      </w:r>
      <w:r w:rsidR="000B68BC" w:rsidRPr="00D32CA6">
        <w:rPr>
          <w:rFonts w:ascii="Helvetica" w:eastAsia="Times New Roman" w:hAnsi="Helvetica"/>
          <w:bCs/>
          <w:iCs/>
        </w:rPr>
        <w:t>onsist of all the original paperwork generated during the probate process and are numbered and filed by the Probate Court.</w:t>
      </w:r>
    </w:p>
    <w:p w:rsidR="00D32CA6" w:rsidRDefault="000B68BC" w:rsidP="00D32CA6">
      <w:pPr>
        <w:pStyle w:val="NoSpacing"/>
        <w:rPr>
          <w:rFonts w:ascii="Helvetica" w:eastAsia="Times New Roman" w:hAnsi="Helvetica"/>
          <w:b/>
          <w:bCs/>
          <w:iCs/>
        </w:rPr>
      </w:pPr>
      <w:r w:rsidRPr="00D32CA6">
        <w:rPr>
          <w:rFonts w:ascii="Helvetica" w:eastAsia="Times New Roman" w:hAnsi="Helvetica"/>
          <w:b/>
          <w:bCs/>
          <w:iCs/>
        </w:rPr>
        <w:t>Other court records</w:t>
      </w:r>
      <w:r>
        <w:rPr>
          <w:rFonts w:ascii="Palatino Linotype" w:hAnsi="Palatino Linotype"/>
          <w:b/>
        </w:rPr>
        <w:t xml:space="preserve"> </w:t>
      </w:r>
      <w:r w:rsidRPr="00D32CA6">
        <w:rPr>
          <w:rFonts w:ascii="Helvetica" w:eastAsia="Times New Roman" w:hAnsi="Helvetica"/>
          <w:b/>
          <w:bCs/>
          <w:iCs/>
        </w:rPr>
        <w:t>generated</w:t>
      </w:r>
    </w:p>
    <w:p w:rsidR="000B68BC" w:rsidRPr="00355B81" w:rsidRDefault="000B68BC" w:rsidP="00D32CA6">
      <w:pPr>
        <w:pStyle w:val="NoSpacing"/>
        <w:numPr>
          <w:ilvl w:val="0"/>
          <w:numId w:val="31"/>
        </w:numPr>
        <w:rPr>
          <w:rFonts w:ascii="Palatino Linotype" w:hAnsi="Palatino Linotype"/>
          <w:b/>
        </w:rPr>
      </w:pPr>
      <w:r w:rsidRPr="00D32CA6">
        <w:rPr>
          <w:rFonts w:ascii="Helvetica" w:eastAsia="Times New Roman" w:hAnsi="Helvetica"/>
          <w:bCs/>
          <w:iCs/>
        </w:rPr>
        <w:t>by the probate process may be found with the Land Office (Decrees of Distribution) or the Clerk of the Court (Partition, Court Cases)</w:t>
      </w:r>
    </w:p>
    <w:p w:rsidR="000B68BC" w:rsidRDefault="000B68BC" w:rsidP="000B68BC"/>
    <w:p w:rsidR="000B68BC" w:rsidRDefault="000B68BC" w:rsidP="00065A67">
      <w:pPr>
        <w:rPr>
          <w:b/>
          <w:sz w:val="28"/>
          <w:szCs w:val="28"/>
        </w:rPr>
      </w:pPr>
      <w:r w:rsidRPr="00D32CA6">
        <w:rPr>
          <w:rFonts w:ascii="Helvetica" w:hAnsi="Helvetica"/>
          <w:b/>
          <w:bCs/>
          <w:iCs/>
          <w:sz w:val="28"/>
          <w:szCs w:val="28"/>
        </w:rPr>
        <w:t>LOCATING PROBATE RECORD</w:t>
      </w:r>
      <w:r>
        <w:rPr>
          <w:b/>
          <w:sz w:val="28"/>
          <w:szCs w:val="28"/>
        </w:rPr>
        <w:t>S</w:t>
      </w:r>
    </w:p>
    <w:p w:rsidR="000B68BC" w:rsidRPr="007B485C" w:rsidRDefault="000B68BC" w:rsidP="00065A67">
      <w:pPr>
        <w:pStyle w:val="NoSpacing"/>
        <w:rPr>
          <w:b/>
        </w:rPr>
      </w:pPr>
      <w:r w:rsidRPr="00065A67">
        <w:rPr>
          <w:rFonts w:ascii="Helvetica" w:eastAsia="Times New Roman" w:hAnsi="Helvetica"/>
          <w:b/>
          <w:bCs/>
          <w:iCs/>
        </w:rPr>
        <w:t>Probate Records Online</w:t>
      </w:r>
    </w:p>
    <w:p w:rsidR="000B68BC" w:rsidRPr="007B485C" w:rsidRDefault="000B68BC" w:rsidP="00065A67">
      <w:pPr>
        <w:pStyle w:val="NoSpacing"/>
        <w:numPr>
          <w:ilvl w:val="0"/>
          <w:numId w:val="26"/>
        </w:numPr>
      </w:pPr>
      <w:r w:rsidRPr="00065A67">
        <w:rPr>
          <w:rFonts w:ascii="Helvetica" w:eastAsia="Times New Roman" w:hAnsi="Helvetica"/>
          <w:b/>
          <w:bCs/>
          <w:iCs/>
        </w:rPr>
        <w:t>FamilySearch.org</w:t>
      </w:r>
      <w:r w:rsidRPr="007B485C">
        <w:t xml:space="preserve"> – </w:t>
      </w:r>
      <w:r w:rsidRPr="00065A67">
        <w:rPr>
          <w:rFonts w:ascii="Helvetica" w:eastAsia="Times New Roman" w:hAnsi="Helvetica"/>
          <w:bCs/>
          <w:iCs/>
        </w:rPr>
        <w:t xml:space="preserve">55+ collections, most of which are images only (no indexes). </w:t>
      </w:r>
    </w:p>
    <w:p w:rsidR="000B68BC" w:rsidRPr="007B485C" w:rsidRDefault="000B68BC" w:rsidP="00065A67">
      <w:pPr>
        <w:pStyle w:val="NoSpacing"/>
        <w:numPr>
          <w:ilvl w:val="0"/>
          <w:numId w:val="26"/>
        </w:numPr>
      </w:pPr>
      <w:r w:rsidRPr="00065A67">
        <w:rPr>
          <w:rFonts w:ascii="Helvetica" w:eastAsia="Times New Roman" w:hAnsi="Helvetica"/>
          <w:b/>
          <w:bCs/>
          <w:iCs/>
        </w:rPr>
        <w:t>Ancestry.com</w:t>
      </w:r>
      <w:r w:rsidRPr="007B485C">
        <w:rPr>
          <w:b/>
        </w:rPr>
        <w:t xml:space="preserve"> </w:t>
      </w:r>
      <w:r w:rsidRPr="007B485C">
        <w:t xml:space="preserve">($) – </w:t>
      </w:r>
      <w:r w:rsidRPr="00065A67">
        <w:rPr>
          <w:rFonts w:ascii="Helvetica" w:eastAsia="Times New Roman" w:hAnsi="Helvetica"/>
          <w:bCs/>
          <w:iCs/>
        </w:rPr>
        <w:t>300+ collections under “Wills, Estates &amp; Guardian Records,” most of which are indexes or scanned copies of books containing abstracts.</w:t>
      </w:r>
    </w:p>
    <w:p w:rsidR="000B68BC" w:rsidRPr="00065A67" w:rsidRDefault="000B68BC" w:rsidP="00065A67">
      <w:pPr>
        <w:pStyle w:val="NoSpacing"/>
        <w:numPr>
          <w:ilvl w:val="0"/>
          <w:numId w:val="26"/>
        </w:numPr>
        <w:rPr>
          <w:rFonts w:ascii="Helvetica" w:eastAsia="Times New Roman" w:hAnsi="Helvetica"/>
          <w:bCs/>
          <w:iCs/>
        </w:rPr>
      </w:pPr>
      <w:r w:rsidRPr="00065A67">
        <w:rPr>
          <w:rFonts w:ascii="Helvetica" w:eastAsia="Times New Roman" w:hAnsi="Helvetica"/>
          <w:b/>
          <w:bCs/>
          <w:iCs/>
        </w:rPr>
        <w:t>State and County Archives, Libraries, Genealogy Societies</w:t>
      </w:r>
      <w:r w:rsidRPr="007B485C">
        <w:t xml:space="preserve"> </w:t>
      </w:r>
      <w:r w:rsidRPr="00065A67">
        <w:rPr>
          <w:rFonts w:ascii="Helvetica" w:eastAsia="Times New Roman" w:hAnsi="Helvetica"/>
          <w:bCs/>
          <w:iCs/>
        </w:rPr>
        <w:t>have online indexes or images of court and probate records. Use a search engine (Google, Bing) or a link library (CyndisList.com or Linkpendium.com) to find these resources.</w:t>
      </w:r>
    </w:p>
    <w:p w:rsidR="000B68BC" w:rsidRPr="007B485C" w:rsidRDefault="000B68BC" w:rsidP="00065A67">
      <w:pPr>
        <w:pStyle w:val="NoSpacing"/>
        <w:rPr>
          <w:b/>
        </w:rPr>
      </w:pPr>
      <w:r w:rsidRPr="00065A67">
        <w:rPr>
          <w:rFonts w:ascii="Helvetica" w:eastAsia="Times New Roman" w:hAnsi="Helvetica"/>
          <w:b/>
          <w:bCs/>
          <w:iCs/>
        </w:rPr>
        <w:t>Published Books</w:t>
      </w:r>
    </w:p>
    <w:p w:rsidR="000B68BC" w:rsidRPr="007B485C" w:rsidRDefault="000B68BC" w:rsidP="00065A67">
      <w:pPr>
        <w:pStyle w:val="NoSpacing"/>
        <w:numPr>
          <w:ilvl w:val="0"/>
          <w:numId w:val="32"/>
        </w:numPr>
      </w:pPr>
      <w:r w:rsidRPr="00065A67">
        <w:rPr>
          <w:rFonts w:ascii="Helvetica" w:eastAsia="Times New Roman" w:hAnsi="Helvetica"/>
          <w:bCs/>
          <w:iCs/>
        </w:rPr>
        <w:t>Many probate records (especially wills) have been abstracted or indexed by local genealogists and genealogy societies. If you find an abstract or an index, make sure to get a copy of the original records. Published books can be located online through Google books (books.google.com), the Internet Archive (www.archive.org), and more. Published probate books can also be found in local libraries using World Cat (worldcat.org).</w:t>
      </w:r>
    </w:p>
    <w:p w:rsidR="000B68BC" w:rsidRPr="00065A67" w:rsidRDefault="000B68BC" w:rsidP="00065A67">
      <w:pPr>
        <w:pStyle w:val="NoSpacing"/>
        <w:rPr>
          <w:rFonts w:ascii="Helvetica" w:eastAsia="Times New Roman" w:hAnsi="Helvetica"/>
          <w:b/>
          <w:bCs/>
          <w:iCs/>
        </w:rPr>
      </w:pPr>
      <w:r w:rsidRPr="00065A67">
        <w:rPr>
          <w:rFonts w:ascii="Helvetica" w:eastAsia="Times New Roman" w:hAnsi="Helvetica"/>
          <w:b/>
          <w:bCs/>
          <w:iCs/>
        </w:rPr>
        <w:t>Probate Records on Microfilm</w:t>
      </w:r>
    </w:p>
    <w:p w:rsidR="00065A67" w:rsidRPr="00065A67" w:rsidRDefault="000B68BC" w:rsidP="00065A67">
      <w:pPr>
        <w:pStyle w:val="NoSpacing"/>
        <w:numPr>
          <w:ilvl w:val="0"/>
          <w:numId w:val="32"/>
        </w:numPr>
      </w:pPr>
      <w:r w:rsidRPr="00065A67">
        <w:rPr>
          <w:rFonts w:ascii="Helvetica" w:eastAsia="Times New Roman" w:hAnsi="Helvetica"/>
          <w:bCs/>
          <w:iCs/>
        </w:rPr>
        <w:t>Many probate books (as well as some probate packets) have been microfilmed and are available</w:t>
      </w:r>
      <w:r w:rsidRPr="007B485C">
        <w:t xml:space="preserve"> </w:t>
      </w:r>
      <w:r w:rsidRPr="00065A67">
        <w:rPr>
          <w:rFonts w:ascii="Helvetica" w:eastAsia="Times New Roman" w:hAnsi="Helvetica"/>
          <w:b/>
          <w:bCs/>
          <w:iCs/>
        </w:rPr>
        <w:t>from</w:t>
      </w:r>
      <w:r w:rsidRPr="007B485C">
        <w:t xml:space="preserve"> </w:t>
      </w:r>
      <w:r w:rsidRPr="00065A67">
        <w:rPr>
          <w:rFonts w:ascii="Helvetica" w:eastAsia="Times New Roman" w:hAnsi="Helvetica"/>
          <w:bCs/>
          <w:iCs/>
        </w:rPr>
        <w:t>FamilySearch. These records can be identified using a Place-name search in the Catalog for the county where your ancestor owned property. (The catalog is accessible from the FamilySearch.org homepage).</w:t>
      </w:r>
    </w:p>
    <w:p w:rsidR="000B68BC" w:rsidRPr="007B485C" w:rsidRDefault="000B68BC" w:rsidP="00065A67">
      <w:pPr>
        <w:pStyle w:val="NoSpacing"/>
        <w:numPr>
          <w:ilvl w:val="0"/>
          <w:numId w:val="32"/>
        </w:numPr>
      </w:pPr>
      <w:r w:rsidRPr="00065A67">
        <w:rPr>
          <w:rFonts w:ascii="Helvetica" w:eastAsia="Times New Roman" w:hAnsi="Helvetica"/>
          <w:bCs/>
          <w:iCs/>
        </w:rPr>
        <w:t>Some states or counties may also have microfilmed copies of probate records. Check with state archives and libraries, University libraries, and a county archive to see if such microfilm exists and to find out if the repository participates in inter-library loan.</w:t>
      </w:r>
    </w:p>
    <w:p w:rsidR="000B68BC" w:rsidRPr="007B485C" w:rsidRDefault="000B68BC" w:rsidP="00065A67">
      <w:pPr>
        <w:pStyle w:val="NoSpacing"/>
        <w:rPr>
          <w:b/>
        </w:rPr>
      </w:pPr>
      <w:r w:rsidRPr="00065A67">
        <w:rPr>
          <w:rFonts w:ascii="Helvetica" w:eastAsia="Times New Roman" w:hAnsi="Helvetica"/>
          <w:b/>
          <w:bCs/>
          <w:iCs/>
        </w:rPr>
        <w:t>Probate Records on-site</w:t>
      </w:r>
    </w:p>
    <w:p w:rsidR="000B68BC" w:rsidRPr="00065A67" w:rsidRDefault="000B68BC" w:rsidP="00065A67">
      <w:pPr>
        <w:pStyle w:val="ListParagraph"/>
        <w:numPr>
          <w:ilvl w:val="0"/>
          <w:numId w:val="32"/>
        </w:numPr>
        <w:rPr>
          <w:b/>
          <w:sz w:val="22"/>
          <w:szCs w:val="22"/>
        </w:rPr>
      </w:pPr>
      <w:r w:rsidRPr="00065A67">
        <w:rPr>
          <w:rFonts w:ascii="Helvetica" w:hAnsi="Helvetica"/>
          <w:bCs/>
          <w:iCs/>
          <w:sz w:val="22"/>
          <w:szCs w:val="22"/>
        </w:rPr>
        <w:t>Most original probate books and packets are held by the probate court or county archives of the county where the estate was settled. Copies of probate can usually be ordered from the court or a local on-site researcher or genealogy society may be willing to copy the records for a fee.</w:t>
      </w:r>
    </w:p>
    <w:p w:rsidR="000B68BC" w:rsidRDefault="000B68BC" w:rsidP="00065A67"/>
    <w:p w:rsidR="000B68BC" w:rsidRPr="00065A67" w:rsidRDefault="000B68BC" w:rsidP="00065A67">
      <w:pPr>
        <w:rPr>
          <w:rFonts w:ascii="Helvetica" w:hAnsi="Helvetica"/>
          <w:b/>
          <w:bCs/>
          <w:iCs/>
          <w:sz w:val="28"/>
          <w:szCs w:val="28"/>
        </w:rPr>
      </w:pPr>
      <w:r w:rsidRPr="00065A67">
        <w:rPr>
          <w:rFonts w:ascii="Helvetica" w:hAnsi="Helvetica"/>
          <w:b/>
          <w:bCs/>
          <w:iCs/>
          <w:sz w:val="28"/>
          <w:szCs w:val="28"/>
        </w:rPr>
        <w:t>RESEARCH STRATEGIES</w:t>
      </w:r>
    </w:p>
    <w:p w:rsidR="000B68BC" w:rsidRPr="00065A67" w:rsidRDefault="000B68BC" w:rsidP="00065A67">
      <w:pPr>
        <w:pStyle w:val="NoSpacing"/>
        <w:numPr>
          <w:ilvl w:val="0"/>
          <w:numId w:val="27"/>
        </w:numPr>
        <w:rPr>
          <w:rFonts w:ascii="Helvetica" w:eastAsia="Times New Roman" w:hAnsi="Helvetica"/>
          <w:bCs/>
          <w:iCs/>
        </w:rPr>
      </w:pPr>
      <w:r w:rsidRPr="00065A67">
        <w:rPr>
          <w:rFonts w:ascii="Helvetica" w:eastAsia="Times New Roman" w:hAnsi="Helvetica"/>
          <w:bCs/>
          <w:iCs/>
        </w:rPr>
        <w:t xml:space="preserve">Probate records usually exist for </w:t>
      </w:r>
      <w:r w:rsidR="00D32CA6" w:rsidRPr="00065A67">
        <w:rPr>
          <w:rFonts w:ascii="Helvetica" w:eastAsia="Times New Roman" w:hAnsi="Helvetica"/>
          <w:bCs/>
          <w:iCs/>
        </w:rPr>
        <w:t>those</w:t>
      </w:r>
      <w:r w:rsidRPr="00065A67">
        <w:rPr>
          <w:rFonts w:ascii="Helvetica" w:eastAsia="Times New Roman" w:hAnsi="Helvetica"/>
          <w:bCs/>
          <w:iCs/>
        </w:rPr>
        <w:t xml:space="preserve"> who owned property. If your ancestor fits that mold, make sure to search for probate records.</w:t>
      </w:r>
    </w:p>
    <w:p w:rsidR="000B68BC" w:rsidRPr="00065A67" w:rsidRDefault="000B68BC" w:rsidP="00065A67">
      <w:pPr>
        <w:pStyle w:val="NoSpacing"/>
        <w:numPr>
          <w:ilvl w:val="0"/>
          <w:numId w:val="27"/>
        </w:numPr>
        <w:rPr>
          <w:rFonts w:ascii="Helvetica" w:eastAsia="Times New Roman" w:hAnsi="Helvetica"/>
          <w:bCs/>
          <w:iCs/>
        </w:rPr>
      </w:pPr>
      <w:r w:rsidRPr="00065A67">
        <w:rPr>
          <w:rFonts w:ascii="Helvetica" w:eastAsia="Times New Roman" w:hAnsi="Helvetica"/>
          <w:bCs/>
          <w:iCs/>
        </w:rPr>
        <w:t>Women are more likely to have a probate if they were single, widowed, or divorced when they died.</w:t>
      </w:r>
    </w:p>
    <w:p w:rsidR="000B68BC" w:rsidRPr="00065A67" w:rsidRDefault="000B68BC" w:rsidP="00065A67">
      <w:pPr>
        <w:pStyle w:val="NoSpacing"/>
        <w:numPr>
          <w:ilvl w:val="0"/>
          <w:numId w:val="27"/>
        </w:numPr>
        <w:rPr>
          <w:rFonts w:ascii="Helvetica" w:eastAsia="Times New Roman" w:hAnsi="Helvetica"/>
          <w:bCs/>
          <w:iCs/>
        </w:rPr>
      </w:pPr>
      <w:r w:rsidRPr="00065A67">
        <w:rPr>
          <w:rFonts w:ascii="Helvetica" w:eastAsia="Times New Roman" w:hAnsi="Helvetica"/>
          <w:bCs/>
          <w:iCs/>
        </w:rPr>
        <w:t>Search for probate records for all of your relatives including siblings, children, parents, and especially unmarried aunts and uncles.</w:t>
      </w:r>
    </w:p>
    <w:p w:rsidR="000B68BC" w:rsidRPr="00065A67" w:rsidRDefault="000B68BC" w:rsidP="00065A67">
      <w:pPr>
        <w:pStyle w:val="NoSpacing"/>
        <w:numPr>
          <w:ilvl w:val="0"/>
          <w:numId w:val="27"/>
        </w:numPr>
        <w:rPr>
          <w:rFonts w:ascii="Helvetica" w:eastAsia="Times New Roman" w:hAnsi="Helvetica"/>
          <w:bCs/>
          <w:iCs/>
        </w:rPr>
      </w:pPr>
      <w:r w:rsidRPr="00065A67">
        <w:rPr>
          <w:rFonts w:ascii="Helvetica" w:eastAsia="Times New Roman" w:hAnsi="Helvetica"/>
          <w:bCs/>
          <w:iCs/>
        </w:rPr>
        <w:lastRenderedPageBreak/>
        <w:t>If your ancestor owned land in multiple counties or states or the property was located on a county line, search for probate records in each of those counties.</w:t>
      </w:r>
    </w:p>
    <w:p w:rsidR="000B68BC" w:rsidRPr="00065A67" w:rsidRDefault="000B68BC" w:rsidP="00065A67">
      <w:pPr>
        <w:pStyle w:val="NoSpacing"/>
        <w:numPr>
          <w:ilvl w:val="0"/>
          <w:numId w:val="27"/>
        </w:numPr>
        <w:rPr>
          <w:rFonts w:ascii="Helvetica" w:eastAsia="Times New Roman" w:hAnsi="Helvetica"/>
          <w:bCs/>
          <w:iCs/>
        </w:rPr>
      </w:pPr>
      <w:r w:rsidRPr="00065A67">
        <w:rPr>
          <w:rFonts w:ascii="Helvetica" w:eastAsia="Times New Roman" w:hAnsi="Helvetica"/>
          <w:bCs/>
          <w:iCs/>
        </w:rPr>
        <w:t>Look for probate records for individuals named in your ancestor’s probate. Your ancestor may be named in their probate record and include additional details.</w:t>
      </w:r>
    </w:p>
    <w:p w:rsidR="000B68BC" w:rsidRPr="00065A67" w:rsidRDefault="000B68BC" w:rsidP="00065A67">
      <w:pPr>
        <w:rPr>
          <w:rFonts w:ascii="Helvetica" w:hAnsi="Helvetica"/>
          <w:bCs/>
          <w:iCs/>
          <w:sz w:val="22"/>
          <w:szCs w:val="22"/>
        </w:rPr>
      </w:pPr>
    </w:p>
    <w:p w:rsidR="000B68BC" w:rsidRPr="00065A67" w:rsidRDefault="000B68BC" w:rsidP="00065A67">
      <w:pPr>
        <w:rPr>
          <w:rFonts w:ascii="Helvetica" w:hAnsi="Helvetica"/>
          <w:b/>
          <w:bCs/>
          <w:iCs/>
          <w:sz w:val="28"/>
          <w:szCs w:val="28"/>
        </w:rPr>
      </w:pPr>
      <w:r w:rsidRPr="00065A67">
        <w:rPr>
          <w:rFonts w:ascii="Helvetica" w:hAnsi="Helvetica"/>
          <w:b/>
          <w:bCs/>
          <w:iCs/>
          <w:sz w:val="28"/>
          <w:szCs w:val="28"/>
        </w:rPr>
        <w:t>LEARN MORE</w:t>
      </w:r>
    </w:p>
    <w:p w:rsidR="000B68BC" w:rsidRPr="00065A67" w:rsidRDefault="000B68BC" w:rsidP="00065A67">
      <w:pPr>
        <w:pStyle w:val="NoSpacing"/>
        <w:numPr>
          <w:ilvl w:val="0"/>
          <w:numId w:val="28"/>
        </w:numPr>
        <w:rPr>
          <w:rFonts w:ascii="Helvetica" w:eastAsia="Times New Roman" w:hAnsi="Helvetica"/>
          <w:bCs/>
          <w:iCs/>
        </w:rPr>
      </w:pPr>
      <w:r w:rsidRPr="00065A67">
        <w:rPr>
          <w:rFonts w:ascii="Helvetica" w:eastAsia="Times New Roman" w:hAnsi="Helvetica"/>
          <w:bCs/>
          <w:iCs/>
        </w:rPr>
        <w:t xml:space="preserve">FamilySearch Research Wiki – Search for “United States Probate Records” or “[State] Probate Records.” (wiki.familysearch.org) </w:t>
      </w:r>
    </w:p>
    <w:p w:rsidR="000B68BC" w:rsidRPr="00065A67" w:rsidRDefault="000B68BC" w:rsidP="00065A67">
      <w:pPr>
        <w:pStyle w:val="NoSpacing"/>
        <w:numPr>
          <w:ilvl w:val="0"/>
          <w:numId w:val="28"/>
        </w:numPr>
        <w:rPr>
          <w:rFonts w:ascii="Helvetica" w:eastAsia="Times New Roman" w:hAnsi="Helvetica"/>
          <w:bCs/>
          <w:iCs/>
        </w:rPr>
      </w:pPr>
      <w:r w:rsidRPr="00065A67">
        <w:rPr>
          <w:rFonts w:ascii="Helvetica" w:eastAsia="Times New Roman" w:hAnsi="Helvetica"/>
          <w:bCs/>
          <w:iCs/>
        </w:rPr>
        <w:t>Greenwood, Val. Researcher’s Guide to American Genealogy, third edition. (Baltimore, MD: Genealogical Publishing Co., Inc., 2000)</w:t>
      </w:r>
    </w:p>
    <w:p w:rsidR="000B68BC" w:rsidRPr="00065A67" w:rsidRDefault="000B68BC" w:rsidP="00065A67">
      <w:pPr>
        <w:pStyle w:val="NoSpacing"/>
        <w:numPr>
          <w:ilvl w:val="0"/>
          <w:numId w:val="28"/>
        </w:numPr>
        <w:rPr>
          <w:rFonts w:ascii="Helvetica" w:eastAsia="Times New Roman" w:hAnsi="Helvetica"/>
          <w:bCs/>
          <w:iCs/>
        </w:rPr>
      </w:pPr>
      <w:r w:rsidRPr="00065A67">
        <w:rPr>
          <w:rFonts w:ascii="Helvetica" w:eastAsia="Times New Roman" w:hAnsi="Helvetica"/>
          <w:bCs/>
          <w:iCs/>
        </w:rPr>
        <w:t xml:space="preserve">Szucs, </w:t>
      </w:r>
      <w:proofErr w:type="spellStart"/>
      <w:r w:rsidRPr="00065A67">
        <w:rPr>
          <w:rFonts w:ascii="Helvetica" w:eastAsia="Times New Roman" w:hAnsi="Helvetica"/>
          <w:bCs/>
          <w:iCs/>
        </w:rPr>
        <w:t>Loretto</w:t>
      </w:r>
      <w:proofErr w:type="spellEnd"/>
      <w:r w:rsidRPr="00065A67">
        <w:rPr>
          <w:rFonts w:ascii="Helvetica" w:eastAsia="Times New Roman" w:hAnsi="Helvetica"/>
          <w:bCs/>
          <w:iCs/>
        </w:rPr>
        <w:t xml:space="preserve"> Dennis &amp; Sandra Hargreaves </w:t>
      </w:r>
      <w:proofErr w:type="spellStart"/>
      <w:r w:rsidRPr="00065A67">
        <w:rPr>
          <w:rFonts w:ascii="Helvetica" w:eastAsia="Times New Roman" w:hAnsi="Helvetica"/>
          <w:bCs/>
          <w:iCs/>
        </w:rPr>
        <w:t>Luebking</w:t>
      </w:r>
      <w:proofErr w:type="spellEnd"/>
      <w:r w:rsidRPr="00065A67">
        <w:rPr>
          <w:rFonts w:ascii="Helvetica" w:eastAsia="Times New Roman" w:hAnsi="Helvetica"/>
          <w:bCs/>
          <w:iCs/>
        </w:rPr>
        <w:t>, editors. The Source: A Guidebook to American Genealogy, third edition. (Provo, UT: Ancestry Publishing Company: 2006)</w:t>
      </w:r>
    </w:p>
    <w:p w:rsidR="00065A67" w:rsidRDefault="00065A67" w:rsidP="00065A67">
      <w:pPr>
        <w:rPr>
          <w:rFonts w:ascii="Helvetica" w:hAnsi="Helvetica"/>
          <w:b/>
          <w:bCs/>
          <w:iCs/>
          <w:sz w:val="28"/>
          <w:szCs w:val="28"/>
        </w:rPr>
      </w:pPr>
    </w:p>
    <w:p w:rsidR="000B68BC" w:rsidRPr="00065A67" w:rsidRDefault="000B68BC" w:rsidP="00065A67">
      <w:pPr>
        <w:rPr>
          <w:rFonts w:ascii="Helvetica" w:hAnsi="Helvetica"/>
          <w:b/>
          <w:bCs/>
          <w:iCs/>
          <w:sz w:val="28"/>
          <w:szCs w:val="28"/>
        </w:rPr>
      </w:pPr>
      <w:r w:rsidRPr="00065A67">
        <w:rPr>
          <w:rFonts w:ascii="Helvetica" w:hAnsi="Helvetica"/>
          <w:b/>
          <w:bCs/>
          <w:iCs/>
          <w:sz w:val="28"/>
          <w:szCs w:val="28"/>
        </w:rPr>
        <w:t>CONCLUSION</w:t>
      </w:r>
    </w:p>
    <w:p w:rsidR="000B68BC" w:rsidRDefault="000B68BC" w:rsidP="00065A67">
      <w:pPr>
        <w:pStyle w:val="NoSpacing"/>
        <w:rPr>
          <w:rFonts w:ascii="Palatino Linotype" w:hAnsi="Palatino Linotype"/>
        </w:rPr>
      </w:pPr>
      <w:r w:rsidRPr="00065A67">
        <w:rPr>
          <w:rFonts w:ascii="Helvetica" w:eastAsia="Times New Roman" w:hAnsi="Helvetica"/>
          <w:bCs/>
          <w:iCs/>
        </w:rPr>
        <w:t>Wills are just the beginning of probate research. If your ancestor owned property, make sure to get copies of their probate records. You might just be surprised by what you find.</w:t>
      </w:r>
    </w:p>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0B68BC" w:rsidRDefault="000B68BC" w:rsidP="000B68BC"/>
    <w:p w:rsidR="00181DAA" w:rsidRDefault="00181DAA" w:rsidP="007C452F">
      <w:pPr>
        <w:tabs>
          <w:tab w:val="left" w:pos="360"/>
          <w:tab w:val="left" w:pos="720"/>
          <w:tab w:val="left" w:pos="1080"/>
          <w:tab w:val="left" w:pos="1440"/>
          <w:tab w:val="left" w:pos="1800"/>
        </w:tabs>
        <w:spacing w:after="120"/>
        <w:rPr>
          <w:rFonts w:ascii="Helvetica" w:hAnsi="Helvetica"/>
          <w:sz w:val="22"/>
          <w:szCs w:val="24"/>
        </w:rPr>
      </w:pPr>
    </w:p>
    <w:p w:rsidR="00755403"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55403"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55403"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55403"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55403"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55403" w:rsidRPr="00E80B9D" w:rsidRDefault="00755403" w:rsidP="007C452F">
      <w:pPr>
        <w:tabs>
          <w:tab w:val="left" w:pos="360"/>
          <w:tab w:val="left" w:pos="720"/>
          <w:tab w:val="left" w:pos="1080"/>
          <w:tab w:val="left" w:pos="1440"/>
          <w:tab w:val="left" w:pos="1800"/>
        </w:tabs>
        <w:spacing w:after="120"/>
        <w:rPr>
          <w:rFonts w:ascii="Helvetica" w:hAnsi="Helvetica"/>
          <w:sz w:val="22"/>
          <w:szCs w:val="24"/>
        </w:rPr>
      </w:pPr>
    </w:p>
    <w:p w:rsidR="007C452F" w:rsidRPr="00E80B9D" w:rsidRDefault="007C452F" w:rsidP="007C452F">
      <w:pPr>
        <w:pStyle w:val="NormalWeb"/>
        <w:spacing w:line="264" w:lineRule="auto"/>
        <w:jc w:val="left"/>
        <w:rPr>
          <w:rFonts w:ascii="Helvetica" w:hAnsi="Helvetica" w:cs="Arial"/>
          <w:sz w:val="18"/>
          <w:szCs w:val="18"/>
        </w:rPr>
      </w:pPr>
      <w:r w:rsidRPr="00E80B9D">
        <w:rPr>
          <w:rFonts w:ascii="Helvetica" w:hAnsi="Helvetica" w:cs="Arial"/>
          <w:sz w:val="18"/>
          <w:szCs w:val="18"/>
        </w:rPr>
        <w:t>© 201</w:t>
      </w:r>
      <w:r w:rsidR="00F708E3">
        <w:rPr>
          <w:rFonts w:ascii="Helvetica" w:hAnsi="Helvetica" w:cs="Arial"/>
          <w:sz w:val="18"/>
          <w:szCs w:val="18"/>
        </w:rPr>
        <w:t>6</w:t>
      </w:r>
      <w:r w:rsidRPr="00E80B9D">
        <w:rPr>
          <w:rFonts w:ascii="Helvetica" w:hAnsi="Helvetica" w:cs="Arial"/>
          <w:sz w:val="18"/>
          <w:szCs w:val="18"/>
        </w:rPr>
        <w:t xml:space="preserve"> </w:t>
      </w:r>
      <w:r w:rsidR="0075725F" w:rsidRPr="00E80B9D">
        <w:rPr>
          <w:rFonts w:ascii="Helvetica" w:hAnsi="Helvetica" w:cs="Arial"/>
          <w:sz w:val="18"/>
          <w:szCs w:val="18"/>
        </w:rPr>
        <w:t xml:space="preserve">by </w:t>
      </w:r>
      <w:r w:rsidR="00F92DFD" w:rsidRPr="00E80B9D">
        <w:rPr>
          <w:rFonts w:ascii="Helvetica" w:hAnsi="Helvetica" w:cs="Arial"/>
          <w:sz w:val="18"/>
          <w:szCs w:val="18"/>
        </w:rPr>
        <w:t>I</w:t>
      </w:r>
      <w:r w:rsidR="0075725F" w:rsidRPr="00E80B9D">
        <w:rPr>
          <w:rFonts w:ascii="Helvetica" w:hAnsi="Helvetica" w:cs="Arial"/>
          <w:sz w:val="18"/>
          <w:szCs w:val="18"/>
        </w:rPr>
        <w:t>ntellectual Reserve, Inc</w:t>
      </w:r>
      <w:r w:rsidRPr="00E80B9D">
        <w:rPr>
          <w:rFonts w:ascii="Helvetica" w:hAnsi="Helvetica" w:cs="Arial"/>
          <w:sz w:val="18"/>
          <w:szCs w:val="18"/>
        </w:rPr>
        <w:t xml:space="preserve">. All rights reserved. No part of this document may be reprinted or reproduced in any form for any purpose without prior written permission. </w:t>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r>
      <w:r w:rsidR="00CB3CE6">
        <w:rPr>
          <w:rFonts w:ascii="Helvetica" w:hAnsi="Helvetica" w:cs="Arial"/>
          <w:sz w:val="18"/>
          <w:szCs w:val="18"/>
        </w:rPr>
        <w:tab/>
        <w:t xml:space="preserve">   Approved 09/2016</w:t>
      </w:r>
    </w:p>
    <w:sectPr w:rsidR="007C452F" w:rsidRPr="00E80B9D" w:rsidSect="00930679">
      <w:footerReference w:type="default" r:id="rId7"/>
      <w:headerReference w:type="first" r:id="rId8"/>
      <w:type w:val="continuous"/>
      <w:pgSz w:w="12240" w:h="15840"/>
      <w:pgMar w:top="1800" w:right="1440" w:bottom="1440" w:left="1440" w:header="144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40D" w:rsidRDefault="00E2640D">
      <w:r>
        <w:separator/>
      </w:r>
    </w:p>
  </w:endnote>
  <w:endnote w:type="continuationSeparator" w:id="0">
    <w:p w:rsidR="00E2640D" w:rsidRDefault="00E26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1ACD" w:rsidRDefault="007D1ACD">
    <w:pPr>
      <w:widowControl/>
      <w:rPr>
        <w:sz w:val="24"/>
        <w:szCs w:val="24"/>
      </w:rPr>
    </w:pPr>
  </w:p>
  <w:p w:rsidR="007D1ACD" w:rsidRDefault="0075725F">
    <w:pPr>
      <w:widowControl/>
      <w:spacing w:line="2" w:lineRule="exact"/>
      <w:rPr>
        <w:b/>
        <w:bCs/>
        <w:sz w:val="18"/>
        <w:szCs w:val="18"/>
      </w:rPr>
    </w:pPr>
    <w:r>
      <w:rPr>
        <w:noProof/>
      </w:rPr>
      <mc:AlternateContent>
        <mc:Choice Requires="wps">
          <w:drawing>
            <wp:anchor distT="0" distB="0" distL="114300" distR="114300" simplePos="0" relativeHeight="251657216" behindDoc="0" locked="0" layoutInCell="0" allowOverlap="1" wp14:anchorId="60C12BE6" wp14:editId="6DBDF962">
              <wp:simplePos x="0" y="0"/>
              <wp:positionH relativeFrom="margin">
                <wp:posOffset>0</wp:posOffset>
              </wp:positionH>
              <wp:positionV relativeFrom="paragraph">
                <wp:posOffset>0</wp:posOffset>
              </wp:positionV>
              <wp:extent cx="0" cy="0"/>
              <wp:effectExtent l="9525" t="9525" r="9525" b="952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F183F0" id="Line 1"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" o:allowincell="f" strokecolor="#020000" strokeweight=".96pt">
              <w10:wrap anchorx="margin"/>
            </v:line>
          </w:pict>
        </mc:Fallback>
      </mc:AlternateContent>
    </w:r>
  </w:p>
  <w:p w:rsidR="007D1ACD" w:rsidRDefault="007D1ACD">
    <w:pPr>
      <w:widowControl/>
      <w:rPr>
        <w:b/>
        <w:b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40D" w:rsidRDefault="00E2640D">
      <w:r>
        <w:separator/>
      </w:r>
    </w:p>
  </w:footnote>
  <w:footnote w:type="continuationSeparator" w:id="0">
    <w:p w:rsidR="00E2640D" w:rsidRDefault="00E264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4D7D" w:rsidRDefault="0075725F">
    <w:pPr>
      <w:pStyle w:val="Header"/>
    </w:pPr>
    <w:r w:rsidRPr="0075725F">
      <w:rPr>
        <w:noProof/>
      </w:rPr>
      <w:drawing>
        <wp:inline distT="0" distB="0" distL="0" distR="0" wp14:anchorId="2C1514D8" wp14:editId="31DBF56A">
          <wp:extent cx="1702622" cy="4426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02622" cy="44262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86111"/>
    <w:multiLevelType w:val="hybridMultilevel"/>
    <w:tmpl w:val="20DAD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77322"/>
    <w:multiLevelType w:val="hybridMultilevel"/>
    <w:tmpl w:val="A080D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C3F39"/>
    <w:multiLevelType w:val="hybridMultilevel"/>
    <w:tmpl w:val="5DE6B554"/>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006AA"/>
    <w:multiLevelType w:val="hybridMultilevel"/>
    <w:tmpl w:val="AA5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464DD"/>
    <w:multiLevelType w:val="hybridMultilevel"/>
    <w:tmpl w:val="DF52F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8540A"/>
    <w:multiLevelType w:val="multilevel"/>
    <w:tmpl w:val="AB1253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C14B97"/>
    <w:multiLevelType w:val="hybridMultilevel"/>
    <w:tmpl w:val="017C5A44"/>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C215EC"/>
    <w:multiLevelType w:val="hybridMultilevel"/>
    <w:tmpl w:val="249CBDD8"/>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346BEB"/>
    <w:multiLevelType w:val="hybridMultilevel"/>
    <w:tmpl w:val="6C568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71B9B"/>
    <w:multiLevelType w:val="hybridMultilevel"/>
    <w:tmpl w:val="CA943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B75771"/>
    <w:multiLevelType w:val="hybridMultilevel"/>
    <w:tmpl w:val="D6C8601E"/>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2D14F8"/>
    <w:multiLevelType w:val="hybridMultilevel"/>
    <w:tmpl w:val="CA92B66E"/>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DD0CB1"/>
    <w:multiLevelType w:val="hybridMultilevel"/>
    <w:tmpl w:val="A3F8E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F1657B"/>
    <w:multiLevelType w:val="hybridMultilevel"/>
    <w:tmpl w:val="08840792"/>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2D4741"/>
    <w:multiLevelType w:val="hybridMultilevel"/>
    <w:tmpl w:val="66B8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5647C6"/>
    <w:multiLevelType w:val="multilevel"/>
    <w:tmpl w:val="5106AB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C45BD"/>
    <w:multiLevelType w:val="hybridMultilevel"/>
    <w:tmpl w:val="4C14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A167FA"/>
    <w:multiLevelType w:val="hybridMultilevel"/>
    <w:tmpl w:val="19D2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6B53B0"/>
    <w:multiLevelType w:val="hybridMultilevel"/>
    <w:tmpl w:val="7E4CCF0C"/>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225B7D"/>
    <w:multiLevelType w:val="hybridMultilevel"/>
    <w:tmpl w:val="FA3ED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667D81"/>
    <w:multiLevelType w:val="hybridMultilevel"/>
    <w:tmpl w:val="051A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C01C47"/>
    <w:multiLevelType w:val="hybridMultilevel"/>
    <w:tmpl w:val="939C32DE"/>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021FA"/>
    <w:multiLevelType w:val="multilevel"/>
    <w:tmpl w:val="592C67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F4649"/>
    <w:multiLevelType w:val="hybridMultilevel"/>
    <w:tmpl w:val="96C200C4"/>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1225BC"/>
    <w:multiLevelType w:val="hybridMultilevel"/>
    <w:tmpl w:val="8F8C7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883DB9"/>
    <w:multiLevelType w:val="hybridMultilevel"/>
    <w:tmpl w:val="8C4A9018"/>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E6723"/>
    <w:multiLevelType w:val="hybridMultilevel"/>
    <w:tmpl w:val="FC18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212159"/>
    <w:multiLevelType w:val="hybridMultilevel"/>
    <w:tmpl w:val="5B3C9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E63324"/>
    <w:multiLevelType w:val="hybridMultilevel"/>
    <w:tmpl w:val="4CB05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88697F"/>
    <w:multiLevelType w:val="hybridMultilevel"/>
    <w:tmpl w:val="B3B0E78E"/>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F5090E"/>
    <w:multiLevelType w:val="hybridMultilevel"/>
    <w:tmpl w:val="35684A7C"/>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154F70"/>
    <w:multiLevelType w:val="hybridMultilevel"/>
    <w:tmpl w:val="68E6AA74"/>
    <w:lvl w:ilvl="0" w:tplc="1D54A316">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21"/>
  </w:num>
  <w:num w:numId="3">
    <w:abstractNumId w:val="6"/>
  </w:num>
  <w:num w:numId="4">
    <w:abstractNumId w:val="29"/>
  </w:num>
  <w:num w:numId="5">
    <w:abstractNumId w:val="11"/>
  </w:num>
  <w:num w:numId="6">
    <w:abstractNumId w:val="30"/>
  </w:num>
  <w:num w:numId="7">
    <w:abstractNumId w:val="31"/>
  </w:num>
  <w:num w:numId="8">
    <w:abstractNumId w:val="10"/>
  </w:num>
  <w:num w:numId="9">
    <w:abstractNumId w:val="5"/>
  </w:num>
  <w:num w:numId="10">
    <w:abstractNumId w:val="15"/>
  </w:num>
  <w:num w:numId="11">
    <w:abstractNumId w:val="22"/>
  </w:num>
  <w:num w:numId="12">
    <w:abstractNumId w:val="13"/>
  </w:num>
  <w:num w:numId="13">
    <w:abstractNumId w:val="2"/>
  </w:num>
  <w:num w:numId="14">
    <w:abstractNumId w:val="25"/>
  </w:num>
  <w:num w:numId="15">
    <w:abstractNumId w:val="7"/>
  </w:num>
  <w:num w:numId="16">
    <w:abstractNumId w:val="18"/>
  </w:num>
  <w:num w:numId="17">
    <w:abstractNumId w:val="1"/>
  </w:num>
  <w:num w:numId="18">
    <w:abstractNumId w:val="17"/>
  </w:num>
  <w:num w:numId="19">
    <w:abstractNumId w:val="26"/>
  </w:num>
  <w:num w:numId="20">
    <w:abstractNumId w:val="8"/>
  </w:num>
  <w:num w:numId="21">
    <w:abstractNumId w:val="20"/>
  </w:num>
  <w:num w:numId="22">
    <w:abstractNumId w:val="16"/>
  </w:num>
  <w:num w:numId="23">
    <w:abstractNumId w:val="19"/>
  </w:num>
  <w:num w:numId="24">
    <w:abstractNumId w:val="12"/>
  </w:num>
  <w:num w:numId="25">
    <w:abstractNumId w:val="9"/>
  </w:num>
  <w:num w:numId="26">
    <w:abstractNumId w:val="0"/>
  </w:num>
  <w:num w:numId="27">
    <w:abstractNumId w:val="27"/>
  </w:num>
  <w:num w:numId="28">
    <w:abstractNumId w:val="24"/>
  </w:num>
  <w:num w:numId="29">
    <w:abstractNumId w:val="3"/>
  </w:num>
  <w:num w:numId="30">
    <w:abstractNumId w:val="28"/>
  </w:num>
  <w:num w:numId="31">
    <w:abstractNumId w:val="14"/>
  </w:num>
  <w:num w:numId="3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36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763"/>
    <w:rsid w:val="00042366"/>
    <w:rsid w:val="00052DE1"/>
    <w:rsid w:val="00063455"/>
    <w:rsid w:val="00065A67"/>
    <w:rsid w:val="00083392"/>
    <w:rsid w:val="00084671"/>
    <w:rsid w:val="00096722"/>
    <w:rsid w:val="000A70EC"/>
    <w:rsid w:val="000B68BC"/>
    <w:rsid w:val="000B6B2E"/>
    <w:rsid w:val="000F5941"/>
    <w:rsid w:val="0012604A"/>
    <w:rsid w:val="001536B1"/>
    <w:rsid w:val="001670A9"/>
    <w:rsid w:val="00173FF6"/>
    <w:rsid w:val="00181DAA"/>
    <w:rsid w:val="001916E5"/>
    <w:rsid w:val="00194D8D"/>
    <w:rsid w:val="001A5A36"/>
    <w:rsid w:val="001A6EE3"/>
    <w:rsid w:val="001D6476"/>
    <w:rsid w:val="00210A8A"/>
    <w:rsid w:val="002252AB"/>
    <w:rsid w:val="00267A61"/>
    <w:rsid w:val="0027179B"/>
    <w:rsid w:val="0027200D"/>
    <w:rsid w:val="00283DDC"/>
    <w:rsid w:val="00291560"/>
    <w:rsid w:val="002C0CE0"/>
    <w:rsid w:val="002C481F"/>
    <w:rsid w:val="002D3CA5"/>
    <w:rsid w:val="00326186"/>
    <w:rsid w:val="00337F0E"/>
    <w:rsid w:val="00342476"/>
    <w:rsid w:val="0034419D"/>
    <w:rsid w:val="003505E5"/>
    <w:rsid w:val="00355578"/>
    <w:rsid w:val="00384EDC"/>
    <w:rsid w:val="003949B6"/>
    <w:rsid w:val="00395CA7"/>
    <w:rsid w:val="003B5763"/>
    <w:rsid w:val="003B64F4"/>
    <w:rsid w:val="003F5843"/>
    <w:rsid w:val="004125C3"/>
    <w:rsid w:val="0046404F"/>
    <w:rsid w:val="004E7067"/>
    <w:rsid w:val="00512B87"/>
    <w:rsid w:val="0053139C"/>
    <w:rsid w:val="005367A3"/>
    <w:rsid w:val="00556554"/>
    <w:rsid w:val="005713E9"/>
    <w:rsid w:val="005E28C7"/>
    <w:rsid w:val="005F37A1"/>
    <w:rsid w:val="006356E9"/>
    <w:rsid w:val="006611E2"/>
    <w:rsid w:val="00664D7D"/>
    <w:rsid w:val="00687BC7"/>
    <w:rsid w:val="006A5069"/>
    <w:rsid w:val="006D60B4"/>
    <w:rsid w:val="006E526F"/>
    <w:rsid w:val="006F73EF"/>
    <w:rsid w:val="007234EE"/>
    <w:rsid w:val="00755403"/>
    <w:rsid w:val="00756185"/>
    <w:rsid w:val="0075725F"/>
    <w:rsid w:val="00783939"/>
    <w:rsid w:val="007849CE"/>
    <w:rsid w:val="00795AF1"/>
    <w:rsid w:val="007A666F"/>
    <w:rsid w:val="007C452F"/>
    <w:rsid w:val="007D1ACD"/>
    <w:rsid w:val="007E647E"/>
    <w:rsid w:val="00817F12"/>
    <w:rsid w:val="00822CC3"/>
    <w:rsid w:val="00835248"/>
    <w:rsid w:val="00840B04"/>
    <w:rsid w:val="0084604B"/>
    <w:rsid w:val="00847D2A"/>
    <w:rsid w:val="008660F3"/>
    <w:rsid w:val="00866E40"/>
    <w:rsid w:val="00866FC5"/>
    <w:rsid w:val="008702A6"/>
    <w:rsid w:val="008E2614"/>
    <w:rsid w:val="00912F64"/>
    <w:rsid w:val="00930679"/>
    <w:rsid w:val="00936401"/>
    <w:rsid w:val="009501CC"/>
    <w:rsid w:val="009668D2"/>
    <w:rsid w:val="00971BD7"/>
    <w:rsid w:val="00976E61"/>
    <w:rsid w:val="009A08BF"/>
    <w:rsid w:val="009D4324"/>
    <w:rsid w:val="009E7977"/>
    <w:rsid w:val="009F476A"/>
    <w:rsid w:val="00A03E24"/>
    <w:rsid w:val="00A12CBC"/>
    <w:rsid w:val="00A32822"/>
    <w:rsid w:val="00A35A47"/>
    <w:rsid w:val="00A50105"/>
    <w:rsid w:val="00AB6844"/>
    <w:rsid w:val="00B06831"/>
    <w:rsid w:val="00B13D62"/>
    <w:rsid w:val="00B17FBC"/>
    <w:rsid w:val="00B4728E"/>
    <w:rsid w:val="00B5399E"/>
    <w:rsid w:val="00B63C4A"/>
    <w:rsid w:val="00B76AEA"/>
    <w:rsid w:val="00B82AA4"/>
    <w:rsid w:val="00B94884"/>
    <w:rsid w:val="00B95DB6"/>
    <w:rsid w:val="00BA1B66"/>
    <w:rsid w:val="00BC1760"/>
    <w:rsid w:val="00BD2E7E"/>
    <w:rsid w:val="00BE5E62"/>
    <w:rsid w:val="00C14E89"/>
    <w:rsid w:val="00C16C2B"/>
    <w:rsid w:val="00C305F5"/>
    <w:rsid w:val="00C40E26"/>
    <w:rsid w:val="00C805B7"/>
    <w:rsid w:val="00C95797"/>
    <w:rsid w:val="00CB3CE6"/>
    <w:rsid w:val="00D011D6"/>
    <w:rsid w:val="00D10151"/>
    <w:rsid w:val="00D140AD"/>
    <w:rsid w:val="00D23FE9"/>
    <w:rsid w:val="00D32CA6"/>
    <w:rsid w:val="00D33AAD"/>
    <w:rsid w:val="00D608D0"/>
    <w:rsid w:val="00D61BF3"/>
    <w:rsid w:val="00D8017B"/>
    <w:rsid w:val="00D873FA"/>
    <w:rsid w:val="00D9738F"/>
    <w:rsid w:val="00DA3017"/>
    <w:rsid w:val="00DB2467"/>
    <w:rsid w:val="00DC47B5"/>
    <w:rsid w:val="00DF3989"/>
    <w:rsid w:val="00DF628A"/>
    <w:rsid w:val="00E2640D"/>
    <w:rsid w:val="00E26530"/>
    <w:rsid w:val="00E334F9"/>
    <w:rsid w:val="00E358C9"/>
    <w:rsid w:val="00E4770E"/>
    <w:rsid w:val="00E737F5"/>
    <w:rsid w:val="00E80B9D"/>
    <w:rsid w:val="00E929F8"/>
    <w:rsid w:val="00F110E6"/>
    <w:rsid w:val="00F377C4"/>
    <w:rsid w:val="00F61405"/>
    <w:rsid w:val="00F62551"/>
    <w:rsid w:val="00F708E3"/>
    <w:rsid w:val="00F746E1"/>
    <w:rsid w:val="00F809FF"/>
    <w:rsid w:val="00F82374"/>
    <w:rsid w:val="00F92DFD"/>
    <w:rsid w:val="00F932CB"/>
    <w:rsid w:val="00FB0782"/>
    <w:rsid w:val="00FB35D5"/>
    <w:rsid w:val="00FD6F55"/>
    <w:rsid w:val="00FF17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6121930-0AA6-4D04-AE99-3BF2CC1B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locked="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9B6"/>
    <w:pPr>
      <w:widowControl w:val="0"/>
      <w:autoSpaceDE w:val="0"/>
      <w:autoSpaceDN w:val="0"/>
      <w:adjustRightInd w:val="0"/>
      <w:spacing w:after="0" w:line="240" w:lineRule="auto"/>
    </w:pPr>
    <w:rPr>
      <w:rFonts w:ascii="Arial" w:hAnsi="Arial" w:cs="Arial"/>
      <w:sz w:val="20"/>
      <w:szCs w:val="20"/>
    </w:rPr>
  </w:style>
  <w:style w:type="paragraph" w:styleId="Heading1">
    <w:name w:val="heading 1"/>
    <w:basedOn w:val="BodyText"/>
    <w:next w:val="Normal"/>
    <w:link w:val="Heading1Char"/>
    <w:uiPriority w:val="99"/>
    <w:qFormat/>
    <w:rsid w:val="00E26530"/>
    <w:pPr>
      <w:widowControl/>
      <w:tabs>
        <w:tab w:val="left" w:pos="-900"/>
        <w:tab w:val="left" w:pos="-720"/>
        <w:tab w:val="left" w:pos="360"/>
        <w:tab w:val="left" w:pos="720"/>
        <w:tab w:val="left" w:pos="1080"/>
        <w:tab w:val="left" w:pos="1440"/>
        <w:tab w:val="left" w:pos="1800"/>
      </w:tabs>
      <w:spacing w:before="240" w:after="80"/>
      <w:jc w:val="left"/>
      <w:outlineLvl w:val="0"/>
    </w:pPr>
    <w:rPr>
      <w:b/>
      <w:sz w:val="28"/>
      <w:szCs w:val="28"/>
    </w:rPr>
  </w:style>
  <w:style w:type="paragraph" w:styleId="Heading2">
    <w:name w:val="heading 2"/>
    <w:basedOn w:val="Normal"/>
    <w:next w:val="Normal"/>
    <w:link w:val="Heading2Char"/>
    <w:uiPriority w:val="99"/>
    <w:qFormat/>
    <w:rsid w:val="00C95797"/>
    <w:pPr>
      <w:tabs>
        <w:tab w:val="left" w:pos="360"/>
        <w:tab w:val="left" w:pos="720"/>
        <w:tab w:val="left" w:pos="1080"/>
        <w:tab w:val="left" w:pos="1440"/>
        <w:tab w:val="left" w:pos="1800"/>
      </w:tabs>
      <w:spacing w:before="160" w:after="40"/>
      <w:outlineLvl w:val="1"/>
    </w:pPr>
    <w:rPr>
      <w:b/>
      <w:sz w:val="24"/>
      <w:szCs w:val="24"/>
    </w:rPr>
  </w:style>
  <w:style w:type="paragraph" w:styleId="Heading3">
    <w:name w:val="heading 3"/>
    <w:basedOn w:val="BodyText"/>
    <w:next w:val="Normal"/>
    <w:link w:val="Heading3Char"/>
    <w:uiPriority w:val="99"/>
    <w:qFormat/>
    <w:rsid w:val="00F377C4"/>
    <w:pPr>
      <w:widowControl/>
      <w:tabs>
        <w:tab w:val="left" w:pos="-900"/>
        <w:tab w:val="left" w:pos="-720"/>
        <w:tab w:val="left" w:pos="360"/>
        <w:tab w:val="left" w:pos="720"/>
        <w:tab w:val="left" w:pos="1080"/>
        <w:tab w:val="left" w:pos="1440"/>
        <w:tab w:val="left" w:pos="1800"/>
      </w:tabs>
      <w:spacing w:after="40"/>
      <w:jc w:val="left"/>
      <w:outlineLvl w:val="2"/>
    </w:pPr>
    <w:rPr>
      <w:rFonts w:ascii="Times New Roman" w:hAnsi="Times New Roman" w:cs="Times New Roman"/>
      <w:b/>
      <w:i/>
    </w:rPr>
  </w:style>
  <w:style w:type="paragraph" w:styleId="Heading4">
    <w:name w:val="heading 4"/>
    <w:basedOn w:val="Normal"/>
    <w:next w:val="Normal"/>
    <w:link w:val="Heading4Char"/>
    <w:uiPriority w:val="99"/>
    <w:qFormat/>
    <w:rsid w:val="00B4728E"/>
    <w:pPr>
      <w:keepNext/>
      <w:keepLines/>
      <w:spacing w:before="200"/>
      <w:outlineLvl w:val="3"/>
    </w:pPr>
    <w:rPr>
      <w:rFonts w:ascii="Cambria"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26530"/>
    <w:rPr>
      <w:rFonts w:ascii="Arial" w:hAnsi="Arial" w:cs="Arial"/>
      <w:b/>
      <w:sz w:val="28"/>
      <w:szCs w:val="28"/>
    </w:rPr>
  </w:style>
  <w:style w:type="character" w:customStyle="1" w:styleId="Heading2Char">
    <w:name w:val="Heading 2 Char"/>
    <w:basedOn w:val="DefaultParagraphFont"/>
    <w:link w:val="Heading2"/>
    <w:uiPriority w:val="99"/>
    <w:locked/>
    <w:rsid w:val="00C95797"/>
    <w:rPr>
      <w:rFonts w:ascii="Arial" w:hAnsi="Arial" w:cs="Arial"/>
      <w:b/>
      <w:sz w:val="24"/>
      <w:szCs w:val="24"/>
      <w:lang w:val="en-US" w:eastAsia="en-US" w:bidi="ar-SA"/>
    </w:rPr>
  </w:style>
  <w:style w:type="character" w:customStyle="1" w:styleId="Heading3Char">
    <w:name w:val="Heading 3 Char"/>
    <w:basedOn w:val="DefaultParagraphFont"/>
    <w:link w:val="Heading3"/>
    <w:uiPriority w:val="99"/>
    <w:locked/>
    <w:rsid w:val="00F377C4"/>
    <w:rPr>
      <w:rFonts w:ascii="Times New Roman" w:hAnsi="Times New Roman" w:cs="Times New Roman"/>
      <w:b/>
      <w:i/>
      <w:sz w:val="24"/>
      <w:szCs w:val="24"/>
    </w:rPr>
  </w:style>
  <w:style w:type="character" w:customStyle="1" w:styleId="Heading4Char">
    <w:name w:val="Heading 4 Char"/>
    <w:basedOn w:val="DefaultParagraphFont"/>
    <w:link w:val="Heading4"/>
    <w:uiPriority w:val="99"/>
    <w:locked/>
    <w:rsid w:val="00B4728E"/>
    <w:rPr>
      <w:rFonts w:ascii="Cambria" w:hAnsi="Cambria" w:cs="Times New Roman"/>
      <w:b/>
      <w:bCs/>
      <w:i/>
      <w:iCs/>
      <w:color w:val="4F81BD"/>
      <w:sz w:val="20"/>
      <w:szCs w:val="20"/>
    </w:rPr>
  </w:style>
  <w:style w:type="paragraph" w:customStyle="1" w:styleId="Numberlist2">
    <w:name w:val="Number list2"/>
    <w:uiPriority w:val="99"/>
    <w:rsid w:val="003949B6"/>
    <w:pPr>
      <w:widowControl w:val="0"/>
      <w:autoSpaceDE w:val="0"/>
      <w:autoSpaceDN w:val="0"/>
      <w:adjustRightInd w:val="0"/>
      <w:spacing w:after="39" w:line="240" w:lineRule="auto"/>
      <w:jc w:val="both"/>
    </w:pPr>
    <w:rPr>
      <w:rFonts w:ascii="Arial" w:hAnsi="Arial" w:cs="Arial"/>
      <w:sz w:val="24"/>
      <w:szCs w:val="24"/>
    </w:rPr>
  </w:style>
  <w:style w:type="paragraph" w:customStyle="1" w:styleId="level1">
    <w:name w:val="_level1"/>
    <w:uiPriority w:val="99"/>
    <w:rsid w:val="003949B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Arial" w:hAnsi="Arial" w:cs="Arial"/>
      <w:sz w:val="24"/>
      <w:szCs w:val="24"/>
    </w:rPr>
  </w:style>
  <w:style w:type="paragraph" w:customStyle="1" w:styleId="level2">
    <w:name w:val="_level2"/>
    <w:uiPriority w:val="99"/>
    <w:rsid w:val="003949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Arial" w:hAnsi="Arial" w:cs="Arial"/>
      <w:sz w:val="24"/>
      <w:szCs w:val="24"/>
    </w:rPr>
  </w:style>
  <w:style w:type="paragraph" w:customStyle="1" w:styleId="level3">
    <w:name w:val="_level3"/>
    <w:uiPriority w:val="99"/>
    <w:rsid w:val="003949B6"/>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Arial" w:hAnsi="Arial" w:cs="Arial"/>
      <w:sz w:val="24"/>
      <w:szCs w:val="24"/>
    </w:rPr>
  </w:style>
  <w:style w:type="paragraph" w:customStyle="1" w:styleId="level4">
    <w:name w:val="_level4"/>
    <w:uiPriority w:val="99"/>
    <w:rsid w:val="003949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Arial" w:hAnsi="Arial" w:cs="Arial"/>
      <w:sz w:val="24"/>
      <w:szCs w:val="24"/>
    </w:rPr>
  </w:style>
  <w:style w:type="paragraph" w:customStyle="1" w:styleId="level5">
    <w:name w:val="_level5"/>
    <w:uiPriority w:val="99"/>
    <w:rsid w:val="003949B6"/>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Arial" w:hAnsi="Arial" w:cs="Arial"/>
      <w:sz w:val="24"/>
      <w:szCs w:val="24"/>
    </w:rPr>
  </w:style>
  <w:style w:type="paragraph" w:customStyle="1" w:styleId="level6">
    <w:name w:val="_level6"/>
    <w:uiPriority w:val="99"/>
    <w:rsid w:val="003949B6"/>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Arial" w:hAnsi="Arial" w:cs="Arial"/>
      <w:sz w:val="24"/>
      <w:szCs w:val="24"/>
    </w:rPr>
  </w:style>
  <w:style w:type="paragraph" w:customStyle="1" w:styleId="level7">
    <w:name w:val="_level7"/>
    <w:uiPriority w:val="99"/>
    <w:rsid w:val="003949B6"/>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Arial" w:hAnsi="Arial" w:cs="Arial"/>
      <w:sz w:val="24"/>
      <w:szCs w:val="24"/>
    </w:rPr>
  </w:style>
  <w:style w:type="paragraph" w:customStyle="1" w:styleId="level8">
    <w:name w:val="_level8"/>
    <w:uiPriority w:val="99"/>
    <w:rsid w:val="003949B6"/>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Arial" w:hAnsi="Arial" w:cs="Arial"/>
      <w:sz w:val="24"/>
      <w:szCs w:val="24"/>
    </w:rPr>
  </w:style>
  <w:style w:type="paragraph" w:customStyle="1" w:styleId="level9">
    <w:name w:val="_level9"/>
    <w:uiPriority w:val="99"/>
    <w:rsid w:val="003949B6"/>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Arial" w:hAnsi="Arial" w:cs="Arial"/>
      <w:sz w:val="24"/>
      <w:szCs w:val="24"/>
    </w:rPr>
  </w:style>
  <w:style w:type="paragraph" w:customStyle="1" w:styleId="levsl1">
    <w:name w:val="_levsl1"/>
    <w:uiPriority w:val="99"/>
    <w:rsid w:val="003949B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Arial" w:hAnsi="Arial" w:cs="Arial"/>
      <w:sz w:val="24"/>
      <w:szCs w:val="24"/>
    </w:rPr>
  </w:style>
  <w:style w:type="paragraph" w:customStyle="1" w:styleId="levsl2">
    <w:name w:val="_levsl2"/>
    <w:uiPriority w:val="99"/>
    <w:rsid w:val="003949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Arial" w:hAnsi="Arial" w:cs="Arial"/>
      <w:sz w:val="24"/>
      <w:szCs w:val="24"/>
    </w:rPr>
  </w:style>
  <w:style w:type="paragraph" w:customStyle="1" w:styleId="levsl3">
    <w:name w:val="_levsl3"/>
    <w:uiPriority w:val="99"/>
    <w:rsid w:val="003949B6"/>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Arial" w:hAnsi="Arial" w:cs="Arial"/>
      <w:sz w:val="24"/>
      <w:szCs w:val="24"/>
    </w:rPr>
  </w:style>
  <w:style w:type="paragraph" w:customStyle="1" w:styleId="levsl4">
    <w:name w:val="_levsl4"/>
    <w:uiPriority w:val="99"/>
    <w:rsid w:val="003949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Arial" w:hAnsi="Arial" w:cs="Arial"/>
      <w:sz w:val="24"/>
      <w:szCs w:val="24"/>
    </w:rPr>
  </w:style>
  <w:style w:type="paragraph" w:customStyle="1" w:styleId="levsl5">
    <w:name w:val="_levsl5"/>
    <w:uiPriority w:val="99"/>
    <w:rsid w:val="003949B6"/>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Arial" w:hAnsi="Arial" w:cs="Arial"/>
      <w:sz w:val="24"/>
      <w:szCs w:val="24"/>
    </w:rPr>
  </w:style>
  <w:style w:type="paragraph" w:customStyle="1" w:styleId="levsl6">
    <w:name w:val="_levsl6"/>
    <w:uiPriority w:val="99"/>
    <w:rsid w:val="003949B6"/>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Arial" w:hAnsi="Arial" w:cs="Arial"/>
      <w:sz w:val="24"/>
      <w:szCs w:val="24"/>
    </w:rPr>
  </w:style>
  <w:style w:type="paragraph" w:customStyle="1" w:styleId="levsl7">
    <w:name w:val="_levsl7"/>
    <w:uiPriority w:val="99"/>
    <w:rsid w:val="003949B6"/>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Arial" w:hAnsi="Arial" w:cs="Arial"/>
      <w:sz w:val="24"/>
      <w:szCs w:val="24"/>
    </w:rPr>
  </w:style>
  <w:style w:type="paragraph" w:customStyle="1" w:styleId="levsl8">
    <w:name w:val="_levsl8"/>
    <w:uiPriority w:val="99"/>
    <w:rsid w:val="003949B6"/>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Arial" w:hAnsi="Arial" w:cs="Arial"/>
      <w:sz w:val="24"/>
      <w:szCs w:val="24"/>
    </w:rPr>
  </w:style>
  <w:style w:type="paragraph" w:customStyle="1" w:styleId="levsl9">
    <w:name w:val="_levsl9"/>
    <w:uiPriority w:val="99"/>
    <w:rsid w:val="003949B6"/>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Arial" w:hAnsi="Arial" w:cs="Arial"/>
      <w:sz w:val="24"/>
      <w:szCs w:val="24"/>
    </w:rPr>
  </w:style>
  <w:style w:type="paragraph" w:customStyle="1" w:styleId="levnl1">
    <w:name w:val="_levnl1"/>
    <w:uiPriority w:val="99"/>
    <w:rsid w:val="003949B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60" w:hanging="360"/>
      <w:jc w:val="both"/>
    </w:pPr>
    <w:rPr>
      <w:rFonts w:ascii="Arial" w:hAnsi="Arial" w:cs="Arial"/>
      <w:sz w:val="24"/>
      <w:szCs w:val="24"/>
    </w:rPr>
  </w:style>
  <w:style w:type="paragraph" w:customStyle="1" w:styleId="levnl2">
    <w:name w:val="_levnl2"/>
    <w:uiPriority w:val="99"/>
    <w:rsid w:val="003949B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720" w:hanging="360"/>
      <w:jc w:val="both"/>
    </w:pPr>
    <w:rPr>
      <w:rFonts w:ascii="Arial" w:hAnsi="Arial" w:cs="Arial"/>
      <w:sz w:val="24"/>
      <w:szCs w:val="24"/>
    </w:rPr>
  </w:style>
  <w:style w:type="paragraph" w:customStyle="1" w:styleId="levnl3">
    <w:name w:val="_levnl3"/>
    <w:uiPriority w:val="99"/>
    <w:rsid w:val="003949B6"/>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080" w:hanging="360"/>
      <w:jc w:val="both"/>
    </w:pPr>
    <w:rPr>
      <w:rFonts w:ascii="Arial" w:hAnsi="Arial" w:cs="Arial"/>
      <w:sz w:val="24"/>
      <w:szCs w:val="24"/>
    </w:rPr>
  </w:style>
  <w:style w:type="paragraph" w:customStyle="1" w:styleId="levnl4">
    <w:name w:val="_levnl4"/>
    <w:uiPriority w:val="99"/>
    <w:rsid w:val="003949B6"/>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440" w:hanging="360"/>
      <w:jc w:val="both"/>
    </w:pPr>
    <w:rPr>
      <w:rFonts w:ascii="Arial" w:hAnsi="Arial" w:cs="Arial"/>
      <w:sz w:val="24"/>
      <w:szCs w:val="24"/>
    </w:rPr>
  </w:style>
  <w:style w:type="paragraph" w:customStyle="1" w:styleId="levnl5">
    <w:name w:val="_levnl5"/>
    <w:uiPriority w:val="99"/>
    <w:rsid w:val="003949B6"/>
    <w:pPr>
      <w:widowControl w:val="0"/>
      <w:tabs>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1800" w:hanging="360"/>
      <w:jc w:val="both"/>
    </w:pPr>
    <w:rPr>
      <w:rFonts w:ascii="Arial" w:hAnsi="Arial" w:cs="Arial"/>
      <w:sz w:val="24"/>
      <w:szCs w:val="24"/>
    </w:rPr>
  </w:style>
  <w:style w:type="paragraph" w:customStyle="1" w:styleId="levnl6">
    <w:name w:val="_levnl6"/>
    <w:uiPriority w:val="99"/>
    <w:rsid w:val="003949B6"/>
    <w:pPr>
      <w:widowControl w:val="0"/>
      <w:tabs>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160" w:hanging="360"/>
      <w:jc w:val="both"/>
    </w:pPr>
    <w:rPr>
      <w:rFonts w:ascii="Arial" w:hAnsi="Arial" w:cs="Arial"/>
      <w:sz w:val="24"/>
      <w:szCs w:val="24"/>
    </w:rPr>
  </w:style>
  <w:style w:type="paragraph" w:customStyle="1" w:styleId="levnl7">
    <w:name w:val="_levnl7"/>
    <w:uiPriority w:val="99"/>
    <w:rsid w:val="003949B6"/>
    <w:pPr>
      <w:widowControl w:val="0"/>
      <w:tabs>
        <w:tab w:val="left" w:pos="252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520" w:hanging="360"/>
      <w:jc w:val="both"/>
    </w:pPr>
    <w:rPr>
      <w:rFonts w:ascii="Arial" w:hAnsi="Arial" w:cs="Arial"/>
      <w:sz w:val="24"/>
      <w:szCs w:val="24"/>
    </w:rPr>
  </w:style>
  <w:style w:type="paragraph" w:customStyle="1" w:styleId="levnl8">
    <w:name w:val="_levnl8"/>
    <w:uiPriority w:val="99"/>
    <w:rsid w:val="003949B6"/>
    <w:pPr>
      <w:widowControl w:val="0"/>
      <w:tabs>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2880" w:hanging="360"/>
      <w:jc w:val="both"/>
    </w:pPr>
    <w:rPr>
      <w:rFonts w:ascii="Arial" w:hAnsi="Arial" w:cs="Arial"/>
      <w:sz w:val="24"/>
      <w:szCs w:val="24"/>
    </w:rPr>
  </w:style>
  <w:style w:type="paragraph" w:customStyle="1" w:styleId="levnl9">
    <w:name w:val="_levnl9"/>
    <w:uiPriority w:val="99"/>
    <w:rsid w:val="003949B6"/>
    <w:pPr>
      <w:widowControl w:val="0"/>
      <w:tabs>
        <w:tab w:val="left" w:pos="324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0" w:line="240" w:lineRule="auto"/>
      <w:ind w:left="3240" w:hanging="360"/>
      <w:jc w:val="both"/>
    </w:pPr>
    <w:rPr>
      <w:rFonts w:ascii="Arial" w:hAnsi="Arial" w:cs="Arial"/>
      <w:sz w:val="24"/>
      <w:szCs w:val="24"/>
    </w:rPr>
  </w:style>
  <w:style w:type="character" w:customStyle="1" w:styleId="DefaultPara">
    <w:name w:val="Default Para"/>
    <w:uiPriority w:val="99"/>
    <w:rsid w:val="003949B6"/>
  </w:style>
  <w:style w:type="paragraph" w:customStyle="1" w:styleId="Body">
    <w:name w:val="Body"/>
    <w:uiPriority w:val="99"/>
    <w:rsid w:val="003949B6"/>
    <w:pPr>
      <w:widowControl w:val="0"/>
      <w:tabs>
        <w:tab w:val="left" w:pos="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jc w:val="both"/>
    </w:pPr>
    <w:rPr>
      <w:rFonts w:ascii="Arial" w:hAnsi="Arial" w:cs="Arial"/>
      <w:sz w:val="24"/>
      <w:szCs w:val="24"/>
    </w:rPr>
  </w:style>
  <w:style w:type="paragraph" w:customStyle="1" w:styleId="BodyIndent">
    <w:name w:val="Body Indent"/>
    <w:uiPriority w:val="99"/>
    <w:rsid w:val="003949B6"/>
    <w:pPr>
      <w:widowControl w:val="0"/>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jc w:val="both"/>
    </w:pPr>
    <w:rPr>
      <w:rFonts w:ascii="Arial" w:hAnsi="Arial" w:cs="Arial"/>
      <w:sz w:val="24"/>
      <w:szCs w:val="24"/>
    </w:rPr>
  </w:style>
  <w:style w:type="paragraph" w:styleId="ListBullet">
    <w:name w:val="List Bullet"/>
    <w:basedOn w:val="Normal"/>
    <w:uiPriority w:val="99"/>
    <w:rsid w:val="003949B6"/>
    <w:pPr>
      <w:jc w:val="both"/>
    </w:pPr>
    <w:rPr>
      <w:sz w:val="24"/>
      <w:szCs w:val="24"/>
    </w:rPr>
  </w:style>
  <w:style w:type="paragraph" w:customStyle="1" w:styleId="Bulletlist">
    <w:name w:val="Bullet list"/>
    <w:uiPriority w:val="99"/>
    <w:rsid w:val="003949B6"/>
    <w:pPr>
      <w:widowControl w:val="0"/>
      <w:autoSpaceDE w:val="0"/>
      <w:autoSpaceDN w:val="0"/>
      <w:adjustRightInd w:val="0"/>
      <w:spacing w:after="39" w:line="240" w:lineRule="auto"/>
      <w:jc w:val="both"/>
    </w:pPr>
    <w:rPr>
      <w:rFonts w:ascii="Arial" w:hAnsi="Arial" w:cs="Arial"/>
      <w:sz w:val="24"/>
      <w:szCs w:val="24"/>
    </w:rPr>
  </w:style>
  <w:style w:type="paragraph" w:customStyle="1" w:styleId="Bulletlist2">
    <w:name w:val="Bullet list2"/>
    <w:uiPriority w:val="99"/>
    <w:rsid w:val="003949B6"/>
    <w:pPr>
      <w:widowControl w:val="0"/>
      <w:autoSpaceDE w:val="0"/>
      <w:autoSpaceDN w:val="0"/>
      <w:adjustRightInd w:val="0"/>
      <w:spacing w:after="79" w:line="240" w:lineRule="auto"/>
      <w:jc w:val="both"/>
    </w:pPr>
    <w:rPr>
      <w:rFonts w:ascii="Arial" w:hAnsi="Arial" w:cs="Arial"/>
      <w:sz w:val="24"/>
      <w:szCs w:val="24"/>
    </w:rPr>
  </w:style>
  <w:style w:type="paragraph" w:customStyle="1" w:styleId="Bulletlist1">
    <w:name w:val="Bullet list1"/>
    <w:uiPriority w:val="99"/>
    <w:rsid w:val="003949B6"/>
    <w:pPr>
      <w:widowControl w:val="0"/>
      <w:autoSpaceDE w:val="0"/>
      <w:autoSpaceDN w:val="0"/>
      <w:adjustRightInd w:val="0"/>
      <w:spacing w:after="39" w:line="240" w:lineRule="auto"/>
      <w:jc w:val="both"/>
    </w:pPr>
    <w:rPr>
      <w:rFonts w:ascii="Arial" w:hAnsi="Arial" w:cs="Arial"/>
      <w:sz w:val="24"/>
      <w:szCs w:val="24"/>
    </w:rPr>
  </w:style>
  <w:style w:type="paragraph" w:customStyle="1" w:styleId="Bulletlist3">
    <w:name w:val="Bullet list3"/>
    <w:uiPriority w:val="99"/>
    <w:rsid w:val="003949B6"/>
    <w:pPr>
      <w:widowControl w:val="0"/>
      <w:autoSpaceDE w:val="0"/>
      <w:autoSpaceDN w:val="0"/>
      <w:adjustRightInd w:val="0"/>
      <w:spacing w:after="79" w:line="240" w:lineRule="auto"/>
      <w:jc w:val="both"/>
    </w:pPr>
    <w:rPr>
      <w:rFonts w:ascii="Arial" w:hAnsi="Arial" w:cs="Arial"/>
      <w:sz w:val="24"/>
      <w:szCs w:val="24"/>
    </w:rPr>
  </w:style>
  <w:style w:type="paragraph" w:styleId="ListNumber">
    <w:name w:val="List Number"/>
    <w:basedOn w:val="Normal"/>
    <w:uiPriority w:val="99"/>
    <w:rsid w:val="003949B6"/>
    <w:rPr>
      <w:sz w:val="24"/>
      <w:szCs w:val="24"/>
    </w:rPr>
  </w:style>
  <w:style w:type="paragraph" w:customStyle="1" w:styleId="Numberlist">
    <w:name w:val="Number list"/>
    <w:uiPriority w:val="99"/>
    <w:rsid w:val="003949B6"/>
    <w:pPr>
      <w:widowControl w:val="0"/>
      <w:autoSpaceDE w:val="0"/>
      <w:autoSpaceDN w:val="0"/>
      <w:adjustRightInd w:val="0"/>
      <w:spacing w:after="39" w:line="240" w:lineRule="auto"/>
      <w:jc w:val="both"/>
    </w:pPr>
    <w:rPr>
      <w:rFonts w:ascii="Arial" w:hAnsi="Arial" w:cs="Arial"/>
      <w:sz w:val="24"/>
      <w:szCs w:val="24"/>
    </w:rPr>
  </w:style>
  <w:style w:type="paragraph" w:customStyle="1" w:styleId="Numberlist3">
    <w:name w:val="Number list3"/>
    <w:uiPriority w:val="99"/>
    <w:rsid w:val="003949B6"/>
    <w:pPr>
      <w:widowControl w:val="0"/>
      <w:autoSpaceDE w:val="0"/>
      <w:autoSpaceDN w:val="0"/>
      <w:adjustRightInd w:val="0"/>
      <w:spacing w:after="79" w:line="240" w:lineRule="auto"/>
      <w:jc w:val="both"/>
    </w:pPr>
    <w:rPr>
      <w:rFonts w:ascii="Arial" w:hAnsi="Arial" w:cs="Arial"/>
      <w:sz w:val="24"/>
      <w:szCs w:val="24"/>
    </w:rPr>
  </w:style>
  <w:style w:type="paragraph" w:customStyle="1" w:styleId="Numberlist1">
    <w:name w:val="Number list1"/>
    <w:uiPriority w:val="99"/>
    <w:rsid w:val="003949B6"/>
    <w:pPr>
      <w:widowControl w:val="0"/>
      <w:autoSpaceDE w:val="0"/>
      <w:autoSpaceDN w:val="0"/>
      <w:adjustRightInd w:val="0"/>
      <w:spacing w:after="79" w:line="240" w:lineRule="auto"/>
      <w:jc w:val="both"/>
    </w:pPr>
    <w:rPr>
      <w:rFonts w:ascii="Arial" w:hAnsi="Arial" w:cs="Arial"/>
      <w:sz w:val="24"/>
      <w:szCs w:val="24"/>
    </w:rPr>
  </w:style>
  <w:style w:type="paragraph" w:styleId="BodyText">
    <w:name w:val="Body Text"/>
    <w:basedOn w:val="Normal"/>
    <w:link w:val="BodyTextChar"/>
    <w:uiPriority w:val="99"/>
    <w:rsid w:val="003949B6"/>
    <w:pPr>
      <w:spacing w:after="120"/>
      <w:jc w:val="both"/>
    </w:pPr>
    <w:rPr>
      <w:sz w:val="24"/>
      <w:szCs w:val="24"/>
    </w:rPr>
  </w:style>
  <w:style w:type="character" w:customStyle="1" w:styleId="BodyTextChar">
    <w:name w:val="Body Text Char"/>
    <w:basedOn w:val="DefaultParagraphFont"/>
    <w:link w:val="BodyText"/>
    <w:uiPriority w:val="99"/>
    <w:semiHidden/>
    <w:locked/>
    <w:rsid w:val="003949B6"/>
    <w:rPr>
      <w:rFonts w:ascii="Arial" w:hAnsi="Arial" w:cs="Arial"/>
      <w:sz w:val="20"/>
      <w:szCs w:val="20"/>
    </w:rPr>
  </w:style>
  <w:style w:type="paragraph" w:customStyle="1" w:styleId="Hanginginde">
    <w:name w:val="Hanging inde"/>
    <w:uiPriority w:val="99"/>
    <w:rsid w:val="003949B6"/>
    <w:pPr>
      <w:widowControl w:val="0"/>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hanging="360"/>
      <w:jc w:val="both"/>
    </w:pPr>
    <w:rPr>
      <w:rFonts w:ascii="Arial" w:hAnsi="Arial" w:cs="Arial"/>
      <w:sz w:val="24"/>
      <w:szCs w:val="24"/>
    </w:rPr>
  </w:style>
  <w:style w:type="paragraph" w:customStyle="1" w:styleId="Checkbox">
    <w:name w:val="Checkbox"/>
    <w:uiPriority w:val="99"/>
    <w:rsid w:val="003949B6"/>
    <w:pPr>
      <w:widowControl w:val="0"/>
      <w:tabs>
        <w:tab w:val="left" w:pos="360"/>
        <w:tab w:val="left" w:pos="50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spacing w:after="120" w:line="240" w:lineRule="auto"/>
      <w:ind w:left="360" w:hanging="360"/>
      <w:jc w:val="both"/>
    </w:pPr>
    <w:rPr>
      <w:rFonts w:ascii="Arial" w:hAnsi="Arial" w:cs="Arial"/>
      <w:sz w:val="24"/>
      <w:szCs w:val="24"/>
    </w:rPr>
  </w:style>
  <w:style w:type="paragraph" w:customStyle="1" w:styleId="Numberlist4">
    <w:name w:val="Number list4"/>
    <w:uiPriority w:val="99"/>
    <w:rsid w:val="003949B6"/>
    <w:pPr>
      <w:widowControl w:val="0"/>
      <w:autoSpaceDE w:val="0"/>
      <w:autoSpaceDN w:val="0"/>
      <w:adjustRightInd w:val="0"/>
      <w:spacing w:after="39" w:line="240" w:lineRule="auto"/>
      <w:jc w:val="both"/>
    </w:pPr>
    <w:rPr>
      <w:rFonts w:ascii="Arial" w:hAnsi="Arial" w:cs="Arial"/>
      <w:sz w:val="24"/>
      <w:szCs w:val="24"/>
    </w:rPr>
  </w:style>
  <w:style w:type="paragraph" w:customStyle="1" w:styleId="Numberdoubl">
    <w:name w:val="Number doubl"/>
    <w:uiPriority w:val="99"/>
    <w:rsid w:val="003949B6"/>
    <w:pPr>
      <w:widowControl w:val="0"/>
      <w:autoSpaceDE w:val="0"/>
      <w:autoSpaceDN w:val="0"/>
      <w:adjustRightInd w:val="0"/>
      <w:spacing w:after="39" w:line="240" w:lineRule="auto"/>
      <w:jc w:val="both"/>
    </w:pPr>
    <w:rPr>
      <w:rFonts w:ascii="Arial" w:hAnsi="Arial" w:cs="Arial"/>
      <w:sz w:val="24"/>
      <w:szCs w:val="24"/>
    </w:rPr>
  </w:style>
  <w:style w:type="character" w:styleId="Hyperlink">
    <w:name w:val="Hyperlink"/>
    <w:basedOn w:val="DefaultParagraphFont"/>
    <w:uiPriority w:val="99"/>
    <w:rsid w:val="003949B6"/>
    <w:rPr>
      <w:rFonts w:cs="Times New Roman"/>
      <w:color w:val="0000FF"/>
      <w:u w:val="single"/>
    </w:rPr>
  </w:style>
  <w:style w:type="character" w:customStyle="1" w:styleId="SYSHYPERTEXT">
    <w:name w:val="SYS_HYPERTEXT"/>
    <w:uiPriority w:val="99"/>
    <w:rsid w:val="003949B6"/>
    <w:rPr>
      <w:color w:val="0000FF"/>
      <w:u w:val="single"/>
    </w:rPr>
  </w:style>
  <w:style w:type="paragraph" w:styleId="ListParagraph">
    <w:name w:val="List Paragraph"/>
    <w:basedOn w:val="Normal"/>
    <w:uiPriority w:val="99"/>
    <w:qFormat/>
    <w:rsid w:val="0034419D"/>
    <w:pPr>
      <w:ind w:left="720"/>
      <w:contextualSpacing/>
    </w:pPr>
  </w:style>
  <w:style w:type="paragraph" w:styleId="Header">
    <w:name w:val="header"/>
    <w:basedOn w:val="Normal"/>
    <w:link w:val="HeaderChar"/>
    <w:uiPriority w:val="99"/>
    <w:rsid w:val="00912F64"/>
    <w:pPr>
      <w:tabs>
        <w:tab w:val="center" w:pos="4680"/>
        <w:tab w:val="right" w:pos="9360"/>
      </w:tabs>
    </w:pPr>
  </w:style>
  <w:style w:type="character" w:customStyle="1" w:styleId="HeaderChar">
    <w:name w:val="Header Char"/>
    <w:basedOn w:val="DefaultParagraphFont"/>
    <w:link w:val="Header"/>
    <w:uiPriority w:val="99"/>
    <w:locked/>
    <w:rsid w:val="00912F64"/>
    <w:rPr>
      <w:rFonts w:ascii="Arial" w:hAnsi="Arial" w:cs="Arial"/>
      <w:sz w:val="20"/>
      <w:szCs w:val="20"/>
    </w:rPr>
  </w:style>
  <w:style w:type="paragraph" w:styleId="Footer">
    <w:name w:val="footer"/>
    <w:basedOn w:val="Normal"/>
    <w:link w:val="FooterChar"/>
    <w:uiPriority w:val="99"/>
    <w:semiHidden/>
    <w:rsid w:val="00912F64"/>
    <w:pPr>
      <w:tabs>
        <w:tab w:val="center" w:pos="4680"/>
        <w:tab w:val="right" w:pos="9360"/>
      </w:tabs>
    </w:pPr>
  </w:style>
  <w:style w:type="character" w:customStyle="1" w:styleId="FooterChar">
    <w:name w:val="Footer Char"/>
    <w:basedOn w:val="DefaultParagraphFont"/>
    <w:link w:val="Footer"/>
    <w:uiPriority w:val="99"/>
    <w:semiHidden/>
    <w:locked/>
    <w:rsid w:val="00912F64"/>
    <w:rPr>
      <w:rFonts w:ascii="Arial" w:hAnsi="Arial" w:cs="Arial"/>
      <w:sz w:val="20"/>
      <w:szCs w:val="20"/>
    </w:rPr>
  </w:style>
  <w:style w:type="paragraph" w:styleId="Title">
    <w:name w:val="Title"/>
    <w:basedOn w:val="Normal"/>
    <w:next w:val="Normal"/>
    <w:link w:val="TitleChar"/>
    <w:uiPriority w:val="99"/>
    <w:qFormat/>
    <w:rsid w:val="00355578"/>
    <w:pPr>
      <w:widowControl/>
      <w:tabs>
        <w:tab w:val="left" w:pos="-900"/>
        <w:tab w:val="left" w:pos="-720"/>
        <w:tab w:val="left" w:pos="360"/>
        <w:tab w:val="left" w:pos="720"/>
        <w:tab w:val="left" w:pos="1080"/>
        <w:tab w:val="left" w:pos="1440"/>
        <w:tab w:val="left" w:pos="1800"/>
      </w:tabs>
      <w:spacing w:after="160"/>
      <w:jc w:val="center"/>
    </w:pPr>
    <w:rPr>
      <w:b/>
      <w:bCs/>
      <w:i/>
      <w:iCs/>
      <w:sz w:val="36"/>
      <w:szCs w:val="36"/>
    </w:rPr>
  </w:style>
  <w:style w:type="character" w:customStyle="1" w:styleId="TitleChar">
    <w:name w:val="Title Char"/>
    <w:basedOn w:val="DefaultParagraphFont"/>
    <w:link w:val="Title"/>
    <w:uiPriority w:val="99"/>
    <w:locked/>
    <w:rsid w:val="00355578"/>
    <w:rPr>
      <w:rFonts w:ascii="Arial" w:hAnsi="Arial" w:cs="Arial"/>
      <w:b/>
      <w:bCs/>
      <w:i/>
      <w:iCs/>
      <w:sz w:val="36"/>
      <w:szCs w:val="36"/>
    </w:rPr>
  </w:style>
  <w:style w:type="paragraph" w:styleId="Subtitle">
    <w:name w:val="Subtitle"/>
    <w:basedOn w:val="Normal"/>
    <w:next w:val="Normal"/>
    <w:link w:val="SubtitleChar"/>
    <w:uiPriority w:val="99"/>
    <w:qFormat/>
    <w:rsid w:val="00B4728E"/>
    <w:pPr>
      <w:widowControl/>
      <w:tabs>
        <w:tab w:val="left" w:pos="-900"/>
        <w:tab w:val="left" w:pos="-720"/>
        <w:tab w:val="left" w:pos="360"/>
        <w:tab w:val="left" w:pos="720"/>
        <w:tab w:val="left" w:pos="1080"/>
        <w:tab w:val="left" w:pos="1440"/>
        <w:tab w:val="left" w:pos="1800"/>
      </w:tabs>
      <w:spacing w:after="160"/>
      <w:jc w:val="center"/>
    </w:pPr>
    <w:rPr>
      <w:sz w:val="24"/>
      <w:szCs w:val="24"/>
    </w:rPr>
  </w:style>
  <w:style w:type="character" w:customStyle="1" w:styleId="SubtitleChar">
    <w:name w:val="Subtitle Char"/>
    <w:basedOn w:val="DefaultParagraphFont"/>
    <w:link w:val="Subtitle"/>
    <w:uiPriority w:val="99"/>
    <w:locked/>
    <w:rsid w:val="00B4728E"/>
    <w:rPr>
      <w:rFonts w:ascii="Arial" w:hAnsi="Arial" w:cs="Arial"/>
      <w:sz w:val="24"/>
      <w:szCs w:val="24"/>
    </w:rPr>
  </w:style>
  <w:style w:type="paragraph" w:customStyle="1" w:styleId="IndentNoSpacing">
    <w:name w:val="Indent No Spacing"/>
    <w:basedOn w:val="Normal"/>
    <w:link w:val="IndentNoSpacingChar"/>
    <w:uiPriority w:val="99"/>
    <w:rsid w:val="005713E9"/>
    <w:pPr>
      <w:tabs>
        <w:tab w:val="left" w:pos="360"/>
        <w:tab w:val="left" w:pos="720"/>
        <w:tab w:val="left" w:pos="1080"/>
        <w:tab w:val="left" w:pos="1440"/>
        <w:tab w:val="left" w:pos="1800"/>
      </w:tabs>
      <w:ind w:left="288"/>
    </w:pPr>
    <w:rPr>
      <w:rFonts w:ascii="Times New Roman" w:hAnsi="Times New Roman" w:cs="Times New Roman"/>
      <w:sz w:val="24"/>
      <w:szCs w:val="24"/>
    </w:rPr>
  </w:style>
  <w:style w:type="paragraph" w:customStyle="1" w:styleId="Text">
    <w:name w:val="Text"/>
    <w:basedOn w:val="BodyText"/>
    <w:link w:val="TextChar"/>
    <w:uiPriority w:val="99"/>
    <w:rsid w:val="005713E9"/>
    <w:pPr>
      <w:widowControl/>
      <w:numPr>
        <w:ilvl w:val="12"/>
      </w:numPr>
      <w:tabs>
        <w:tab w:val="left" w:pos="360"/>
        <w:tab w:val="left" w:pos="720"/>
        <w:tab w:val="left" w:pos="1080"/>
        <w:tab w:val="left" w:pos="1440"/>
        <w:tab w:val="left" w:pos="1800"/>
      </w:tabs>
      <w:jc w:val="left"/>
    </w:pPr>
    <w:rPr>
      <w:rFonts w:ascii="Times New Roman" w:hAnsi="Times New Roman" w:cs="Times New Roman"/>
    </w:rPr>
  </w:style>
  <w:style w:type="character" w:customStyle="1" w:styleId="IndentNoSpacingChar">
    <w:name w:val="Indent No Spacing Char"/>
    <w:basedOn w:val="DefaultParagraphFont"/>
    <w:link w:val="IndentNoSpacing"/>
    <w:uiPriority w:val="99"/>
    <w:locked/>
    <w:rsid w:val="005713E9"/>
    <w:rPr>
      <w:rFonts w:ascii="Times New Roman" w:hAnsi="Times New Roman" w:cs="Times New Roman"/>
      <w:sz w:val="24"/>
      <w:szCs w:val="24"/>
    </w:rPr>
  </w:style>
  <w:style w:type="paragraph" w:customStyle="1" w:styleId="CompanyandContactInfo">
    <w:name w:val="Company and Contact Info"/>
    <w:basedOn w:val="Normal"/>
    <w:link w:val="CompanyandContactInfoChar"/>
    <w:uiPriority w:val="99"/>
    <w:rsid w:val="00FF173C"/>
    <w:pPr>
      <w:widowControl/>
      <w:tabs>
        <w:tab w:val="left" w:pos="-900"/>
        <w:tab w:val="left" w:pos="-720"/>
        <w:tab w:val="left" w:pos="360"/>
        <w:tab w:val="left" w:pos="720"/>
        <w:tab w:val="left" w:pos="1080"/>
        <w:tab w:val="left" w:pos="1440"/>
        <w:tab w:val="left" w:pos="1800"/>
      </w:tabs>
      <w:jc w:val="center"/>
    </w:pPr>
  </w:style>
  <w:style w:type="character" w:customStyle="1" w:styleId="TextChar">
    <w:name w:val="Text Char"/>
    <w:basedOn w:val="BodyTextChar"/>
    <w:link w:val="Text"/>
    <w:uiPriority w:val="99"/>
    <w:locked/>
    <w:rsid w:val="005713E9"/>
    <w:rPr>
      <w:rFonts w:ascii="Times New Roman" w:hAnsi="Times New Roman" w:cs="Times New Roman"/>
      <w:sz w:val="24"/>
      <w:szCs w:val="24"/>
    </w:rPr>
  </w:style>
  <w:style w:type="character" w:customStyle="1" w:styleId="CompanyandContactInfoChar">
    <w:name w:val="Company and Contact Info Char"/>
    <w:basedOn w:val="DefaultParagraphFont"/>
    <w:link w:val="CompanyandContactInfo"/>
    <w:uiPriority w:val="99"/>
    <w:locked/>
    <w:rsid w:val="00FF173C"/>
    <w:rPr>
      <w:rFonts w:ascii="Arial" w:hAnsi="Arial" w:cs="Arial"/>
      <w:sz w:val="20"/>
      <w:szCs w:val="20"/>
    </w:rPr>
  </w:style>
  <w:style w:type="paragraph" w:styleId="NoSpacing">
    <w:name w:val="No Spacing"/>
    <w:uiPriority w:val="1"/>
    <w:qFormat/>
    <w:rsid w:val="00B5399E"/>
    <w:pPr>
      <w:spacing w:after="0" w:line="240" w:lineRule="auto"/>
    </w:pPr>
    <w:rPr>
      <w:rFonts w:ascii="Arial" w:eastAsiaTheme="minorHAnsi" w:hAnsi="Arial" w:cs="Arial"/>
    </w:rPr>
  </w:style>
  <w:style w:type="paragraph" w:styleId="BalloonText">
    <w:name w:val="Balloon Text"/>
    <w:basedOn w:val="Normal"/>
    <w:link w:val="BalloonTextChar"/>
    <w:uiPriority w:val="99"/>
    <w:semiHidden/>
    <w:unhideWhenUsed/>
    <w:rsid w:val="00840B04"/>
    <w:rPr>
      <w:rFonts w:ascii="Tahoma" w:hAnsi="Tahoma" w:cs="Tahoma"/>
      <w:sz w:val="16"/>
      <w:szCs w:val="16"/>
    </w:rPr>
  </w:style>
  <w:style w:type="character" w:customStyle="1" w:styleId="BalloonTextChar">
    <w:name w:val="Balloon Text Char"/>
    <w:basedOn w:val="DefaultParagraphFont"/>
    <w:link w:val="BalloonText"/>
    <w:uiPriority w:val="99"/>
    <w:semiHidden/>
    <w:rsid w:val="00840B04"/>
    <w:rPr>
      <w:rFonts w:ascii="Tahoma" w:hAnsi="Tahoma" w:cs="Tahoma"/>
      <w:sz w:val="16"/>
      <w:szCs w:val="16"/>
    </w:rPr>
  </w:style>
  <w:style w:type="paragraph" w:styleId="NormalWeb">
    <w:name w:val="Normal (Web)"/>
    <w:basedOn w:val="Normal"/>
    <w:uiPriority w:val="99"/>
    <w:unhideWhenUsed/>
    <w:rsid w:val="00A50105"/>
    <w:pPr>
      <w:widowControl/>
      <w:autoSpaceDE/>
      <w:autoSpaceDN/>
      <w:adjustRightInd/>
      <w:spacing w:after="210" w:line="210" w:lineRule="atLeast"/>
      <w:jc w:val="both"/>
    </w:pPr>
    <w:rPr>
      <w:rFonts w:ascii="Times New Roman" w:hAnsi="Times New Roman" w:cs="Times New Roman"/>
      <w:sz w:val="17"/>
      <w:szCs w:val="17"/>
    </w:rPr>
  </w:style>
  <w:style w:type="table" w:styleId="TableGrid">
    <w:name w:val="Table Grid"/>
    <w:basedOn w:val="TableNormal"/>
    <w:locked/>
    <w:rsid w:val="00AB6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67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2202</Words>
  <Characters>12555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Expo Syllabus Template</vt:lpstr>
    </vt:vector>
  </TitlesOfParts>
  <Company>LDS Church</Company>
  <LinksUpToDate>false</LinksUpToDate>
  <CharactersWithSpaces>14728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 Syllabus Template</dc:title>
  <dc:creator>Holly Hansen</dc:creator>
  <cp:lastModifiedBy>Tim Bingaman</cp:lastModifiedBy>
  <cp:revision>2</cp:revision>
  <dcterms:created xsi:type="dcterms:W3CDTF">2016-09-29T17:48:00Z</dcterms:created>
  <dcterms:modified xsi:type="dcterms:W3CDTF">2016-09-29T17:48:00Z</dcterms:modified>
</cp:coreProperties>
</file>